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customXml/itemProps1.xml" ContentType="application/vnd.openxmlformats-officedocument.customXmlProperties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wp14="http://schemas.microsoft.com/office/word/2010/wordprocessingDrawing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w15="http://schemas.microsoft.com/office/word/2012/wordml" xmlns:a14="http://schemas.microsoft.com/office/drawing/2010/main" mc:Ignorable="w14 w15">
  <w:body>
    <w:p>
      <w:pPr>
        <w:jc w:val="left"/>
        <w:rPr>
          <w:rFonts w:ascii="仿宋" w:eastAsia="仿宋" w:cs="仿宋" w:hAnsi="仿宋" w:hint="eastAsia"/>
          <w:b/>
          <w:bCs/>
          <w:sz w:val="30"/>
          <w:szCs w:val="30"/>
        </w:rPr>
      </w:pPr>
      <w:r>
        <w:rPr>
          <w:rFonts w:ascii="仿宋" w:eastAsia="仿宋" w:cs="仿宋" w:hAnsi="仿宋" w:hint="eastAsia"/>
          <w:b/>
          <w:bCs/>
          <w:sz w:val="30"/>
          <w:szCs w:val="30"/>
        </w:rPr>
        <w:t>附件6.技术规范书</w:t>
      </w:r>
    </w:p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 w:val="0"/>
        <w:autoSpaceDN w:val="0"/>
        <w:adjustRightInd w:val="0"/>
        <w:snapToGrid/>
        <w:spacing w:beforeLines="50" w:before="156" w:line="440" w:lineRule="exact"/>
        <w:ind w:firstLine="0"/>
        <w:jc w:val="left"/>
        <w:outlineLvl w:val="0"/>
        <w:rPr>
          <w:rFonts w:ascii="仿宋_GB2312" w:eastAsia="仿宋_GB2312" w:hAnsi="宋体" w:hint="eastAsia"/>
          <w:sz w:val="28"/>
          <w:szCs w:val="28"/>
          <w:lang w:eastAsia="zh-CN"/>
        </w:rPr>
      </w:pPr>
      <w:r>
        <w:rPr>
          <w:rFonts w:ascii="仿宋_GB2312" w:eastAsia="仿宋_GB2312" w:cs="Times New Roman" w:hAnsi="宋体" w:hint="eastAsia"/>
          <w:b/>
          <w:kern w:val="2"/>
          <w:sz w:val="28"/>
          <w:szCs w:val="28"/>
          <w:lang w:val="en-US" w:eastAsia="zh-CN" w:bidi="ar-SA"/>
        </w:rPr>
        <w:t>一、采购内容</w:t>
      </w:r>
    </w:p>
    <w:p>
      <w:pPr>
        <w:keepNext w:val="0"/>
        <w:keepLines w:val="0"/>
        <w:pageBreakBefore w:val="0"/>
        <w:widowControl w:val="0"/>
        <w:tabs>
          <w:tab w:val="left" w:pos="8280"/>
        </w:tabs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right="23" w:firstLineChars="200" w:firstLine="560"/>
        <w:rPr>
          <w:rFonts w:ascii="仿宋_GB2312" w:eastAsia="仿宋_GB2312" w:hint="eastAsia"/>
          <w:color w:val="000000"/>
          <w:kern w:val="0"/>
          <w:sz w:val="28"/>
          <w:szCs w:val="28"/>
        </w:rPr>
      </w:pPr>
      <w:r>
        <w:rPr>
          <w:rFonts w:ascii="仿宋_GB2312" w:eastAsia="仿宋_GB2312" w:hint="eastAsia"/>
          <w:color w:val="000000"/>
          <w:kern w:val="0"/>
          <w:sz w:val="28"/>
          <w:szCs w:val="28"/>
        </w:rPr>
        <w:t>本次</w:t>
      </w:r>
      <w:r>
        <w:rPr>
          <w:rFonts w:ascii="仿宋_GB2312" w:eastAsia="仿宋_GB2312" w:hint="eastAsia"/>
          <w:color w:val="000000"/>
          <w:kern w:val="0"/>
          <w:sz w:val="28"/>
          <w:szCs w:val="28"/>
          <w:lang w:val="en-US" w:eastAsia="zh-CN"/>
        </w:rPr>
        <w:t>采购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内容为</w:t>
      </w:r>
      <w:r>
        <w:rPr>
          <w:rFonts w:ascii="仿宋_GB2312" w:eastAsia="仿宋_GB2312" w:hint="eastAsia"/>
          <w:color w:val="000000"/>
          <w:kern w:val="0"/>
          <w:sz w:val="28"/>
          <w:szCs w:val="28"/>
          <w:lang w:eastAsia="zh-CN"/>
        </w:rPr>
        <w:t>“</w:t>
      </w:r>
      <w:r>
        <w:rPr>
          <w:rFonts w:ascii="仿宋_GB2312" w:eastAsia="仿宋_GB2312" w:cs="Times New Roman" w:hAnsi="Times New Roman" w:hint="eastAsia"/>
          <w:color w:val="000000"/>
          <w:kern w:val="0"/>
          <w:sz w:val="28"/>
          <w:szCs w:val="28"/>
          <w:lang w:val="en-US" w:eastAsia="zh-CN"/>
        </w:rPr>
        <w:t>河南邮政身份证邮寄信息管理系统零星需求敏捷开发”</w:t>
      </w:r>
      <w:r>
        <w:rPr>
          <w:rFonts w:ascii="仿宋_GB2312" w:eastAsia="仿宋_GB2312" w:hint="eastAsia"/>
          <w:color w:val="000000"/>
          <w:kern w:val="0"/>
          <w:sz w:val="28"/>
          <w:szCs w:val="28"/>
        </w:rPr>
        <w:t>项目，具体内容如下表：</w:t>
      </w:r>
    </w:p>
    <w:tbl>
      <w:tblPr>
        <w:jc w:val="center"/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56"/>
        <w:gridCol w:w="1694"/>
        <w:gridCol w:w="869"/>
        <w:gridCol w:w="2132"/>
        <w:gridCol w:w="1440"/>
      </w:tblGrid>
      <w:tr>
        <w:trPr>
          <w:trHeight w:val="844"/>
        </w:trPr>
        <w:tc>
          <w:tcPr>
            <w:tcW w:w="2215" w:type="dxa"/>
            <w:tcBorders>
              <w:tl2br w:val="nil"/>
              <w:tr2bl w:val="nil"/>
            </w:tcBorders>
            <w:shd w:val="clear" w:color="auto" w:fill="B3B3B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b/>
                <w:sz w:val="24"/>
                <w:szCs w:val="24"/>
              </w:rPr>
              <w:t>项目名称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shd w:val="clear" w:color="auto" w:fill="B3B3B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b/>
                <w:sz w:val="24"/>
                <w:szCs w:val="24"/>
              </w:rPr>
              <w:t>规格配置</w:t>
            </w:r>
          </w:p>
        </w:tc>
        <w:tc>
          <w:tcPr>
            <w:tcW w:w="893" w:type="dxa"/>
            <w:tcBorders>
              <w:tl2br w:val="nil"/>
              <w:tr2bl w:val="nil"/>
            </w:tcBorders>
            <w:shd w:val="clear" w:color="auto" w:fill="B3B3B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b/>
                <w:sz w:val="24"/>
                <w:szCs w:val="24"/>
              </w:rPr>
              <w:t>数量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shd w:val="clear" w:color="auto" w:fill="B3B3B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b/>
                <w:sz w:val="24"/>
                <w:szCs w:val="24"/>
                <w:lang w:val="en-US" w:eastAsia="zh-CN"/>
              </w:rPr>
              <w:t>部署</w:t>
            </w:r>
            <w:r>
              <w:rPr>
                <w:rFonts w:ascii="仿宋" w:eastAsia="仿宋" w:cs="仿宋" w:hAnsi="仿宋" w:hint="eastAsia"/>
                <w:b/>
                <w:sz w:val="24"/>
                <w:szCs w:val="24"/>
              </w:rPr>
              <w:t>单位</w:t>
            </w:r>
          </w:p>
        </w:tc>
        <w:tc>
          <w:tcPr>
            <w:tcW w:w="1479" w:type="dxa"/>
            <w:tcBorders>
              <w:tl2br w:val="nil"/>
              <w:tr2bl w:val="nil"/>
            </w:tcBorders>
            <w:shd w:val="clear" w:color="auto" w:fill="B3B3B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b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b/>
                <w:sz w:val="24"/>
                <w:szCs w:val="24"/>
                <w:lang w:val="en-US" w:eastAsia="zh-CN"/>
              </w:rPr>
              <w:t>工</w:t>
            </w:r>
            <w:r>
              <w:rPr>
                <w:rFonts w:ascii="仿宋" w:eastAsia="仿宋" w:cs="仿宋" w:hAnsi="仿宋" w:hint="eastAsia"/>
                <w:b/>
                <w:sz w:val="24"/>
                <w:szCs w:val="24"/>
              </w:rPr>
              <w:t>期</w:t>
            </w:r>
          </w:p>
        </w:tc>
      </w:tr>
      <w:tr>
        <w:trPr>
          <w:trHeight w:val="1366"/>
        </w:trPr>
        <w:tc>
          <w:tcPr>
            <w:tcW w:w="2215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sz w:val="24"/>
                <w:szCs w:val="24"/>
                <w:lang w:val="en-US" w:eastAsia="zh-CN"/>
              </w:rPr>
              <w:t>河南邮政身份证邮寄信息管理系统零星需求敏捷开发</w:t>
            </w:r>
          </w:p>
        </w:tc>
        <w:tc>
          <w:tcPr>
            <w:tcW w:w="174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sz w:val="24"/>
                <w:szCs w:val="24"/>
              </w:rPr>
              <w:t>具体见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sz w:val="24"/>
                <w:szCs w:val="24"/>
              </w:rPr>
              <w:t>技术</w:t>
            </w:r>
            <w:r>
              <w:rPr>
                <w:rFonts w:ascii="仿宋" w:eastAsia="仿宋" w:cs="仿宋" w:hAnsi="仿宋" w:hint="eastAsia"/>
                <w:sz w:val="24"/>
                <w:szCs w:val="24"/>
                <w:lang w:val="en-US" w:eastAsia="zh-CN"/>
              </w:rPr>
              <w:t>规范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sz w:val="24"/>
                <w:szCs w:val="24"/>
              </w:rPr>
            </w:pPr>
          </w:p>
        </w:tc>
        <w:tc>
          <w:tcPr>
            <w:tcW w:w="893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sz w:val="24"/>
                <w:szCs w:val="24"/>
              </w:rPr>
              <w:t>1套</w:t>
            </w:r>
          </w:p>
        </w:tc>
        <w:tc>
          <w:tcPr>
            <w:tcW w:w="2190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sz w:val="24"/>
                <w:szCs w:val="24"/>
              </w:rPr>
            </w:pPr>
            <w:r>
              <w:rPr>
                <w:rFonts w:ascii="仿宋" w:eastAsia="仿宋" w:cs="仿宋" w:hAnsi="仿宋" w:hint="eastAsia"/>
                <w:sz w:val="24"/>
                <w:szCs w:val="24"/>
              </w:rPr>
              <w:t>省信息技术中心</w:t>
            </w:r>
          </w:p>
        </w:tc>
        <w:tc>
          <w:tcPr>
            <w:tcW w:w="1479" w:type="dxa"/>
            <w:tcBorders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8280"/>
              </w:tabs>
              <w:kinsoku/>
              <w:wordWrap/>
              <w:overflowPunct/>
              <w:topLinePunct w:val="0"/>
              <w:autoSpaceDE w:val="0"/>
              <w:autoSpaceDN w:val="0"/>
              <w:adjustRightInd w:val="0"/>
              <w:snapToGrid/>
              <w:spacing w:line="440" w:lineRule="exact"/>
              <w:ind w:firstLine="0"/>
              <w:jc w:val="center"/>
              <w:rPr>
                <w:rFonts w:ascii="仿宋" w:eastAsia="仿宋" w:cs="仿宋" w:hAnsi="仿宋" w:hint="eastAsia"/>
                <w:sz w:val="24"/>
                <w:szCs w:val="24"/>
                <w:lang w:val="en-US" w:eastAsia="zh-CN"/>
              </w:rPr>
            </w:pPr>
            <w:r>
              <w:rPr>
                <w:rFonts w:ascii="仿宋" w:eastAsia="仿宋" w:cs="仿宋" w:hAnsi="仿宋" w:hint="eastAsia"/>
                <w:color w:val="000000"/>
                <w:kern w:val="0"/>
                <w:sz w:val="24"/>
                <w:szCs w:val="24"/>
                <w:lang w:val="en-US" w:eastAsia="zh-CN"/>
              </w:rPr>
              <w:t>20日历天</w:t>
            </w:r>
          </w:p>
        </w:tc>
      </w:tr>
    </w:tbl>
    <w:p>
      <w:pPr>
        <w:pStyle w:val="2"/>
        <w:keepNext/>
        <w:keepLines/>
        <w:pageBreakBefore w:val="0"/>
        <w:widowControl w:val="0"/>
        <w:tabs>
          <w:tab w:val="left" w:pos="1380"/>
        </w:tabs>
        <w:kinsoku/>
        <w:wordWrap/>
        <w:overflowPunct/>
        <w:topLinePunct w:val="0"/>
        <w:autoSpaceDE/>
        <w:autoSpaceDN/>
        <w:adjustRightInd/>
        <w:snapToGrid/>
        <w:spacing w:beforeLines="50" w:before="156" w:after="0" w:line="440" w:lineRule="exact"/>
        <w:ind w:left="0"/>
        <w:rPr>
          <w:rFonts w:ascii="仿宋_GB2312" w:eastAsia="仿宋_GB2312" w:cs="Times New Roman" w:hAnsi="宋体" w:hint="eastAsia"/>
          <w:b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b/>
          <w:sz w:val="28"/>
          <w:szCs w:val="28"/>
          <w:lang w:val="en-US" w:eastAsia="zh-CN"/>
        </w:rPr>
        <w:t>二、建设原则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</w:rPr>
      </w:pPr>
      <w:bookmarkStart w:id="0" w:name="_Toc345079166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1、</w:t>
      </w:r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</w:rPr>
        <w:t>统一性</w:t>
      </w:r>
      <w:bookmarkEnd w:id="0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</w:rPr>
        <w:t>原则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敏捷开发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要坚持统一规划、统一标准、统一实施的原则。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</w:pPr>
      <w:bookmarkStart w:id="1" w:name="_Toc345079167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2、先进性</w:t>
      </w:r>
      <w:bookmarkEnd w:id="1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原则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应采用当前稳定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的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技术，符合国际、国内标准的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接口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规范。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</w:pPr>
      <w:bookmarkStart w:id="2" w:name="_Toc345079168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3、前瞻性</w:t>
      </w:r>
      <w:bookmarkEnd w:id="2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原则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敏捷开发的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架构和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技术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体系，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需兼容现有运行系统架构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</w:pPr>
      <w:bookmarkStart w:id="3" w:name="_Toc345079169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4、开放性</w:t>
      </w:r>
      <w:bookmarkEnd w:id="3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原则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应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具备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与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邮政内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外部系统数据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交互的能力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jc w:val="left"/>
        <w:outlineLvl w:val="1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</w:pPr>
      <w:bookmarkStart w:id="4" w:name="_Toc345079170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5、灵活性</w:t>
      </w:r>
      <w:bookmarkEnd w:id="4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原则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对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接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业务数据时，要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具备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灵活、多样的接口配置。</w:t>
      </w:r>
      <w:bookmarkStart w:id="5" w:name="_Toc345079171"/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</w:pPr>
      <w:bookmarkStart w:id="6" w:name="_Toc345079174"/>
      <w:bookmarkEnd w:id="5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6、</w:t>
      </w:r>
      <w:bookmarkEnd w:id="6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模块化原则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应遵循软件工程思想，采用层次化、模块化的设计，各模块相互独立，模块间耦合度小。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 xml:space="preserve">7、数据完整性 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校验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数据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一致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性，拒绝接收不合语义的数据，保证数据的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完整准确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</w:pPr>
      <w:bookmarkStart w:id="7" w:name="_Toc345079175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8、安全可靠</w:t>
      </w:r>
      <w:bookmarkEnd w:id="7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原则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应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保证7*24小时持续、稳定、安全运行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，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对关键数据进行加密存储。建立日志文件，跟踪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接口数据</w:t>
      </w: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ar-SA"/>
        </w:rPr>
        <w:t>详情。</w:t>
      </w:r>
    </w:p>
    <w:p>
      <w:pPr>
        <w:pStyle w:val="2"/>
        <w:keepNext/>
        <w:keepLines/>
        <w:pageBreakBefore w:val="0"/>
        <w:widowControl w:val="0"/>
        <w:tabs>
          <w:tab w:val="left" w:pos="1380"/>
        </w:tabs>
        <w:kinsoku/>
        <w:wordWrap/>
        <w:overflowPunct/>
        <w:topLinePunct w:val="0"/>
        <w:autoSpaceDE/>
        <w:autoSpaceDN/>
        <w:adjustRightInd/>
        <w:snapToGrid/>
        <w:spacing w:beforeLines="50" w:before="156" w:after="0" w:line="440" w:lineRule="exact"/>
        <w:ind w:left="0"/>
        <w:rPr>
          <w:rFonts w:ascii="仿宋_GB2312" w:eastAsia="仿宋_GB2312" w:cs="Times New Roman" w:hAnsi="宋体" w:hint="eastAsia"/>
          <w:b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b/>
          <w:sz w:val="28"/>
          <w:szCs w:val="28"/>
          <w:lang w:val="en-US" w:eastAsia="zh-CN"/>
        </w:rPr>
        <w:t>*三、技术规范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hAnsi="宋体" w:hint="eastAsia"/>
          <w:color w:val="auto"/>
          <w:kern w:val="0"/>
          <w:sz w:val="28"/>
          <w:szCs w:val="28"/>
        </w:rPr>
      </w:pPr>
      <w:r>
        <w:rPr>
          <w:rFonts w:ascii="仿宋_GB2312" w:eastAsia="仿宋_GB2312" w:cs="Times New Roman" w:hAnsi="Times New Roman" w:hint="eastAsia"/>
          <w:color w:val="000000"/>
          <w:kern w:val="0"/>
          <w:sz w:val="28"/>
          <w:szCs w:val="28"/>
          <w:lang w:val="en-US" w:eastAsia="zh-CN"/>
        </w:rPr>
        <w:t>本次敏捷开发涵盖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应用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架构、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网络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架构、安全架构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、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软件平台、处理能力、模块流程设计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 xml:space="preserve">等内容。  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firstLineChars="200" w:firstLine="560"/>
        <w:jc w:val="left"/>
        <w:outlineLvl w:val="1"/>
        <w:rPr>
          <w:rFonts w:ascii="仿宋_GB2312" w:eastAsia="仿宋_GB2312" w:hAnsi="宋体" w:hint="eastAsia"/>
          <w:b/>
          <w:bCs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bCs/>
          <w:kern w:val="0"/>
          <w:sz w:val="28"/>
          <w:szCs w:val="28"/>
        </w:rPr>
        <w:t>1、</w:t>
      </w:r>
      <w:r>
        <w:rPr>
          <w:rFonts w:ascii="仿宋_GB2312" w:eastAsia="仿宋_GB2312" w:hAnsi="宋体" w:hint="eastAsia"/>
          <w:b/>
          <w:bCs/>
          <w:kern w:val="0"/>
          <w:sz w:val="28"/>
          <w:szCs w:val="28"/>
          <w:lang w:val="en-US" w:eastAsia="zh-CN"/>
        </w:rPr>
        <w:t>应用</w:t>
      </w:r>
      <w:r>
        <w:rPr>
          <w:rFonts w:ascii="仿宋_GB2312" w:eastAsia="仿宋_GB2312" w:hAnsi="宋体" w:hint="eastAsia"/>
          <w:b/>
          <w:bCs/>
          <w:kern w:val="0"/>
          <w:sz w:val="28"/>
          <w:szCs w:val="28"/>
        </w:rPr>
        <w:t>架构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hAnsi="宋体" w:hint="eastAsia"/>
          <w:color w:val="auto"/>
          <w:kern w:val="0"/>
          <w:sz w:val="28"/>
          <w:szCs w:val="28"/>
        </w:rPr>
      </w:pP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现有身份证邮寄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系统采用B/S方式进行部署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，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敏捷开发涉及的应用架构包含以下几部分：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接口层：基于https协议，采用国密SM4加密算法，与警民通系统进行接口交互，实现邮寄订单接入和轨迹查询。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数据层：增加警民通邮寄订单的内外网数据同步服务，增加相关库表的警民通标识。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应用层：增加对警民通订单的明细查询和机构量统计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firstLineChars="200" w:firstLine="560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eastAsia="zh-CN"/>
        </w:rPr>
      </w:pPr>
      <w:r>
        <w:rPr>
          <w:rFonts w:ascii="仿宋_GB2312" w:eastAsia="仿宋_GB2312" w:hAnsi="宋体" w:hint="eastAsia"/>
          <w:b/>
          <w:bCs/>
          <w:kern w:val="0"/>
          <w:sz w:val="28"/>
          <w:szCs w:val="28"/>
          <w:lang w:val="en-US" w:eastAsia="zh-CN"/>
        </w:rPr>
        <w:t>2</w:t>
      </w:r>
      <w:r>
        <w:rPr>
          <w:rFonts w:ascii="仿宋_GB2312" w:eastAsia="仿宋_GB2312" w:hAnsi="宋体" w:hint="eastAsia"/>
          <w:b/>
          <w:bCs/>
          <w:kern w:val="0"/>
          <w:sz w:val="28"/>
          <w:szCs w:val="28"/>
        </w:rPr>
        <w:t>、</w:t>
      </w:r>
      <w:r>
        <w:rPr>
          <w:rFonts w:ascii="仿宋_GB2312" w:eastAsia="仿宋_GB2312" w:hAnsi="宋体" w:hint="eastAsia"/>
          <w:b/>
          <w:bCs/>
          <w:kern w:val="0"/>
          <w:sz w:val="28"/>
          <w:szCs w:val="28"/>
          <w:lang w:val="en-US" w:eastAsia="zh-CN"/>
        </w:rPr>
        <w:t>网络</w:t>
      </w:r>
      <w:r>
        <w:rPr>
          <w:rFonts w:ascii="仿宋_GB2312" w:eastAsia="仿宋_GB2312" w:hAnsi="宋体" w:hint="eastAsia"/>
          <w:b/>
          <w:bCs/>
          <w:kern w:val="0"/>
          <w:sz w:val="28"/>
          <w:szCs w:val="28"/>
        </w:rPr>
        <w:t>架构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基于系统现有网络架构，内网部署应用服务器、数据库服务器，外网部署微信应用服务器、数据库服务器。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内网应用服务器，实现身份证邮寄业务的综合管理。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内网数据库服务器，存储身份证邮寄业务的所有主数据。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微信应用服务器，实现警民通的订单接入及查询。</w:t>
      </w:r>
    </w:p>
    <w:p>
      <w:pPr>
        <w:pStyle w:val="78"/>
        <w:rPr>
          <w:lang w:val="en-US" w:eastAsia="zh-CN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/>
        </w:rPr>
        <w:t>微信数据库服务器：存储警民通订单和户籍室映射信息。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firstLineChars="200" w:firstLine="560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</w:rPr>
      </w:pPr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3</w:t>
      </w:r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</w:rPr>
        <w:t>、软件平台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snapToGrid/>
        <w:spacing w:line="440" w:lineRule="exact"/>
        <w:ind w:left="0" w:firstLineChars="200" w:firstLine="560"/>
        <w:jc w:val="left"/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eastAsia="zh-CN"/>
        </w:rPr>
      </w:pP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操作系统须基于现有麒麟系统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eastAsia="zh-CN"/>
        </w:rPr>
        <w:t>。</w:t>
      </w:r>
    </w:p>
    <w:p>
      <w:pPr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snapToGrid/>
        <w:spacing w:line="440" w:lineRule="exact"/>
        <w:ind w:left="0" w:firstLineChars="200" w:firstLine="560"/>
        <w:jc w:val="left"/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eastAsia="zh-CN"/>
        </w:rPr>
      </w:pP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数据库须基于现有Oracle18C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eastAsia="zh-CN"/>
        </w:rPr>
        <w:t>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hint="eastAsia"/>
          <w:lang w:eastAsia="zh-CN"/>
        </w:rPr>
      </w:pP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</w:rPr>
        <w:t>（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3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</w:rPr>
        <w:t>）应用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中间件须基于现有Nginx、Tomcat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eastAsia="zh-CN"/>
        </w:rPr>
        <w:t>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cs="Times New Roman" w:hAnsi="宋体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</w:rPr>
        <w:t>（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4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</w:rPr>
        <w:t>）</w:t>
      </w:r>
      <w:r>
        <w:rPr>
          <w:rFonts w:ascii="仿宋_GB2312" w:eastAsia="仿宋_GB2312" w:cs="Times New Roman" w:hAnsi="宋体" w:hint="eastAsia"/>
          <w:bCs/>
          <w:color w:val="auto"/>
          <w:kern w:val="0"/>
          <w:sz w:val="28"/>
          <w:szCs w:val="28"/>
          <w:lang w:val="en-US" w:eastAsia="zh-CN"/>
        </w:rPr>
        <w:t>基于系统现有的前后端开源框架，SpringBoot、Vue、ElementUI</w:t>
      </w:r>
      <w:r>
        <w:rPr>
          <w:rFonts w:ascii="仿宋_GB2312" w:eastAsia="仿宋_GB2312" w:cs="Times New Roman" w:hAnsi="宋体" w:hint="eastAsia"/>
          <w:bCs/>
          <w:color w:val="auto"/>
          <w:kern w:val="0"/>
          <w:sz w:val="28"/>
          <w:szCs w:val="28"/>
        </w:rPr>
        <w:t>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firstLineChars="200" w:firstLine="560"/>
        <w:jc w:val="left"/>
        <w:outlineLvl w:val="1"/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b/>
          <w:bCs/>
          <w:color w:val="auto"/>
          <w:kern w:val="0"/>
          <w:sz w:val="28"/>
          <w:szCs w:val="28"/>
          <w:lang w:val="en-US" w:eastAsia="zh-CN"/>
        </w:rPr>
        <w:t>4</w:t>
      </w:r>
      <w:r>
        <w:rPr>
          <w:rFonts w:ascii="仿宋_GB2312" w:eastAsia="仿宋_GB2312" w:cs="Times New Roman" w:hAnsi="宋体" w:hint="eastAsia"/>
          <w:b/>
          <w:bCs/>
          <w:color w:val="auto"/>
          <w:kern w:val="0"/>
          <w:sz w:val="28"/>
          <w:szCs w:val="28"/>
        </w:rPr>
        <w:t>、数据处理能力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left="0" w:firstLineChars="150" w:firstLine="420"/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（1）警民通渠道传输数据时，附加权限认证和完整性校验。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left="0" w:firstLineChars="150" w:firstLine="420"/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（2）记录数据交互日志，用于审计异常情况。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left="0" w:firstLineChars="150" w:firstLine="420"/>
        <w:rPr>
          <w:rFonts w:ascii="仿宋_GB2312" w:eastAsia="仿宋_GB2312" w:hAnsi="宋体" w:hint="eastAsia"/>
          <w:bCs/>
          <w:color w:val="auto"/>
          <w:kern w:val="0"/>
          <w:sz w:val="28"/>
          <w:szCs w:val="28"/>
        </w:rPr>
      </w:pP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</w:rPr>
        <w:t>（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3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</w:rPr>
        <w:t>）性能要求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left="0" w:firstLineChars="228" w:firstLine="638"/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</w:pP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1）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接口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并发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接入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数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&gt;=1</w:t>
      </w:r>
      <w:r>
        <w:rPr>
          <w:rFonts w:ascii="仿宋_GB2312" w:eastAsia="仿宋_GB2312" w:hint="eastAsia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left="0" w:firstLineChars="228" w:firstLine="638"/>
        <w:rPr>
          <w:rFonts w:ascii="仿宋_GB2312" w:eastAsia="仿宋_GB2312" w:hAnsi="宋体" w:hint="eastAsia"/>
          <w:color w:val="auto"/>
          <w:kern w:val="0"/>
          <w:sz w:val="28"/>
          <w:szCs w:val="28"/>
        </w:rPr>
      </w:pP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2）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接口交互延时&lt;=0.5秒，单表查询响应时间&lt;=3秒，复杂多表查询响应时间&lt;=10秒。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left="0" w:firstLineChars="228" w:firstLine="638"/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</w:pP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3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）系统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故障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恢复时间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&lt;=4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小时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firstLineChars="200" w:firstLine="560"/>
        <w:jc w:val="left"/>
        <w:outlineLvl w:val="1"/>
        <w:rPr>
          <w:rFonts w:ascii="仿宋_GB2312" w:eastAsia="仿宋_GB2312" w:cs="Times New Roman" w:hAnsi="宋体"/>
          <w:b/>
          <w:bCs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/>
        </w:rPr>
        <w:t>5</w:t>
      </w:r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</w:rPr>
        <w:t>、安全设计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/>
        </w:rPr>
      </w:pP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本次敏捷开发须采用接口权限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/>
        </w:rPr>
        <w:t>认证，采用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国密SM4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/>
        </w:rPr>
        <w:t>加密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算法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/>
        </w:rPr>
        <w:t>在内的多种安全措施。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</w:pP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（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1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）统一安全策略设计、配置，具备防范恶意代码的能力，防范跨站点脚本攻击、sql注入攻击和页面篡改等。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</w:pP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（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2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）应当具备的安全特性包括：身份鉴别、安全审计、数据完整性和保密性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校验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/>
        </w:rPr>
      </w:pP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（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3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）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开发厂商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应公布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使用的第三方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产品、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组件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，并对所用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组件、产品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出现的安全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问题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 w:eastAsia="zh-CN"/>
        </w:rPr>
        <w:t>提供必要的技术支持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zh-CN"/>
        </w:rPr>
        <w:t>。</w:t>
      </w:r>
    </w:p>
    <w:p>
      <w:pPr>
        <w:pStyle w:val="78"/>
        <w:ind w:leftChars="0" w:left="40" w:firstLineChars="200" w:firstLine="560"/>
        <w:rPr>
          <w:rStyle w:val="0"/>
          <w:rFonts w:ascii="仿宋_GB2312" w:eastAsia="仿宋_GB2312" w:cs="仿宋_GB2312" w:hAnsi="宋体" w:hint="eastAsia"/>
          <w:bCs/>
          <w:kern w:val="0"/>
          <w:sz w:val="28"/>
          <w:szCs w:val="28"/>
        </w:rPr>
      </w:pPr>
      <w:r>
        <w:rPr>
          <w:rStyle w:val="0"/>
          <w:rFonts w:ascii="仿宋_GB2312" w:eastAsia="仿宋_GB2312" w:cs="仿宋_GB2312" w:hAnsi="宋体" w:hint="eastAsia"/>
          <w:bCs/>
          <w:kern w:val="0"/>
          <w:sz w:val="28"/>
          <w:szCs w:val="28"/>
        </w:rPr>
        <w:t>（4）开发阶段，厂商不得在开发、测试环境使用生产数据和邮政标识；开发厂商不得在其他项目投标文件中使用本项目邮政标识。</w:t>
      </w:r>
    </w:p>
    <w:p>
      <w:pPr>
        <w:keepNext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firstLineChars="200" w:firstLine="560"/>
        <w:jc w:val="left"/>
        <w:outlineLvl w:val="1"/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 w:bidi="ar-SA"/>
        </w:rPr>
      </w:pPr>
      <w:bookmarkStart w:id="8" w:name="_Toc59423027"/>
      <w:r>
        <w:rPr>
          <w:rFonts w:ascii="仿宋_GB2312" w:eastAsia="仿宋_GB2312" w:cs="Times New Roman" w:hAnsi="宋体" w:hint="eastAsia"/>
          <w:b/>
          <w:bCs/>
          <w:kern w:val="0"/>
          <w:sz w:val="28"/>
          <w:szCs w:val="28"/>
          <w:lang w:val="en-US" w:eastAsia="zh-CN" w:bidi="ar-SA"/>
        </w:rPr>
        <w:t>6、系统兼容性要求</w:t>
      </w:r>
    </w:p>
    <w:p>
      <w:pPr>
        <w:keepNext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left="0" w:firstLineChars="200" w:firstLine="560"/>
        <w:jc w:val="left"/>
        <w:outlineLvl w:val="1"/>
        <w:rPr>
          <w:rFonts w:ascii="仿宋_GB2312" w:eastAsia="仿宋_GB2312" w:cs="Times New Roman" w:hAnsi="宋体" w:hint="eastAsia"/>
          <w:b/>
          <w:bCs/>
          <w:color w:val="auto"/>
          <w:sz w:val="28"/>
          <w:szCs w:val="28"/>
          <w:lang w:val="en-US" w:eastAsia="zh-CN"/>
          <w:highlight w:val="none"/>
        </w:rPr>
      </w:pPr>
      <w:r>
        <w:rPr>
          <w:rFonts w:ascii="仿宋_GB2312" w:eastAsia="仿宋_GB2312" w:cs="Times New Roman" w:hAnsi="宋体" w:hint="eastAsia"/>
          <w:b/>
          <w:bCs/>
          <w:color w:val="auto"/>
          <w:sz w:val="28"/>
          <w:szCs w:val="28"/>
          <w:lang w:val="en-US" w:eastAsia="zh-CN"/>
          <w:highlight w:val="none"/>
        </w:rPr>
        <w:t>系统业务要求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cs="仿宋_GB2312" w:hAnsi="宋体"/>
          <w:bCs/>
          <w:color w:val="auto"/>
          <w:kern w:val="0"/>
          <w:sz w:val="28"/>
          <w:szCs w:val="28"/>
          <w:lang w:val="en-US" w:eastAsia="zh-CN"/>
        </w:rPr>
      </w:pP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需</w:t>
      </w:r>
      <w:r>
        <w:rPr>
          <w:rFonts w:ascii="仿宋_GB2312" w:eastAsia="仿宋_GB2312" w:cs="仿宋_GB2312" w:hAnsi="宋体"/>
          <w:bCs/>
          <w:color w:val="auto"/>
          <w:kern w:val="0"/>
          <w:sz w:val="28"/>
          <w:szCs w:val="28"/>
          <w:lang w:val="en-US" w:eastAsia="zh-CN"/>
        </w:rPr>
        <w:t>详细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了解身份证邮寄信息管理系统和警民通系统对接的具体要求，了解身份证邮寄信息管理系统现有渠道的生产、管理流程。</w:t>
      </w:r>
    </w:p>
    <w:p>
      <w:pPr>
        <w:keepNext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left="0" w:firstLineChars="200" w:firstLine="560"/>
        <w:jc w:val="left"/>
        <w:outlineLvl w:val="1"/>
        <w:rPr>
          <w:rFonts w:ascii="仿宋_GB2312" w:eastAsia="仿宋_GB2312" w:cs="Times New Roman" w:hAnsi="宋体"/>
          <w:b/>
          <w:bCs/>
          <w:color w:val="auto"/>
          <w:sz w:val="28"/>
          <w:szCs w:val="28"/>
          <w:lang w:val="en-US" w:eastAsia="zh-CN"/>
          <w:highlight w:val="none"/>
        </w:rPr>
      </w:pPr>
      <w:r>
        <w:rPr>
          <w:rFonts w:ascii="仿宋_GB2312" w:eastAsia="仿宋_GB2312" w:cs="Times New Roman" w:hAnsi="宋体"/>
          <w:b/>
          <w:bCs/>
          <w:color w:val="auto"/>
          <w:sz w:val="28"/>
          <w:szCs w:val="28"/>
          <w:lang w:val="en-US" w:eastAsia="zh-CN"/>
          <w:highlight w:val="none"/>
        </w:rPr>
        <w:t>技术开发框架</w:t>
      </w:r>
    </w:p>
    <w:p>
      <w:pPr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lang w:val="en-US" w:eastAsia="zh-CN"/>
        </w:rPr>
      </w:pPr>
      <w:r>
        <w:rPr>
          <w:rFonts w:ascii="仿宋_GB2312" w:eastAsia="仿宋_GB2312" w:cs="仿宋_GB2312" w:hAnsi="宋体"/>
          <w:bCs/>
          <w:color w:val="auto"/>
          <w:kern w:val="0"/>
          <w:sz w:val="28"/>
          <w:szCs w:val="28"/>
          <w:lang w:val="en-US" w:eastAsia="zh-CN"/>
        </w:rPr>
        <w:t>需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详细</w:t>
      </w:r>
      <w:r>
        <w:rPr>
          <w:rFonts w:ascii="仿宋_GB2312" w:eastAsia="仿宋_GB2312" w:cs="仿宋_GB2312" w:hAnsi="宋体"/>
          <w:bCs/>
          <w:color w:val="auto"/>
          <w:kern w:val="0"/>
          <w:sz w:val="28"/>
          <w:szCs w:val="28"/>
          <w:lang w:val="en-US" w:eastAsia="zh-CN"/>
        </w:rPr>
        <w:t>了解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身份证邮寄信息管理系统现有的数据传输、存储模式和</w:t>
      </w:r>
      <w:r>
        <w:rPr>
          <w:rFonts w:ascii="仿宋_GB2312" w:eastAsia="仿宋_GB2312" w:cs="仿宋_GB2312" w:hAnsi="宋体"/>
          <w:bCs/>
          <w:color w:val="auto"/>
          <w:kern w:val="0"/>
          <w:sz w:val="28"/>
          <w:szCs w:val="28"/>
          <w:lang w:val="en-US" w:eastAsia="zh-CN"/>
        </w:rPr>
        <w:t>技术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框架</w:t>
      </w:r>
      <w:r>
        <w:rPr>
          <w:rFonts w:ascii="仿宋_GB2312" w:eastAsia="仿宋_GB2312" w:cs="仿宋_GB2312" w:hAnsi="宋体"/>
          <w:bCs/>
          <w:color w:val="auto"/>
          <w:kern w:val="0"/>
          <w:sz w:val="28"/>
          <w:szCs w:val="28"/>
          <w:lang w:val="en-US" w:eastAsia="zh-CN"/>
        </w:rPr>
        <w:t>，确保此次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敏捷开发与原系统保持兼容，并</w:t>
      </w:r>
      <w:r>
        <w:rPr>
          <w:rFonts w:ascii="仿宋_GB2312" w:eastAsia="仿宋_GB2312" w:cs="仿宋_GB2312" w:hAnsi="宋体"/>
          <w:bCs/>
          <w:color w:val="auto"/>
          <w:kern w:val="0"/>
          <w:sz w:val="28"/>
          <w:szCs w:val="28"/>
          <w:lang w:val="en-US" w:eastAsia="zh-CN"/>
        </w:rPr>
        <w:t>顺利</w:t>
      </w:r>
      <w:r>
        <w:rPr>
          <w:rFonts w:ascii="仿宋_GB2312" w:eastAsia="仿宋_GB2312" w:cs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打通和警民通系统的数据交互</w:t>
      </w:r>
      <w:r>
        <w:rPr>
          <w:rFonts w:ascii="仿宋_GB2312" w:eastAsia="仿宋_GB2312" w:cs="Times New Roman" w:hAnsi="宋体"/>
          <w:color w:val="auto"/>
          <w:sz w:val="28"/>
          <w:szCs w:val="28"/>
          <w:lang w:val="en-US" w:eastAsia="zh-CN"/>
          <w:highlight w:val="none"/>
        </w:rPr>
        <w:t>。</w:t>
      </w:r>
    </w:p>
    <w:p>
      <w:pPr>
        <w:pStyle w:val="2"/>
        <w:keepNext/>
        <w:keepLines/>
        <w:pageBreakBefore w:val="0"/>
        <w:widowControl w:val="0"/>
        <w:tabs>
          <w:tab w:val="left" w:pos="1380"/>
        </w:tabs>
        <w:kinsoku/>
        <w:wordWrap/>
        <w:overflowPunct/>
        <w:topLinePunct w:val="0"/>
        <w:autoSpaceDE/>
        <w:autoSpaceDN/>
        <w:adjustRightInd/>
        <w:snapToGrid/>
        <w:spacing w:beforeLines="50" w:before="156" w:after="0" w:line="440" w:lineRule="exact"/>
        <w:ind w:left="0"/>
        <w:rPr>
          <w:rFonts w:ascii="仿宋_GB2312" w:eastAsia="仿宋_GB2312" w:hAnsi="宋体" w:hint="eastAsia"/>
          <w:sz w:val="28"/>
          <w:szCs w:val="28"/>
        </w:rPr>
      </w:pPr>
      <w:r>
        <w:rPr>
          <w:rFonts w:ascii="仿宋_GB2312" w:eastAsia="仿宋_GB2312" w:hAnsi="宋体" w:hint="eastAsia"/>
          <w:sz w:val="28"/>
          <w:szCs w:val="28"/>
          <w:lang w:val="en-US" w:eastAsia="zh-CN"/>
        </w:rPr>
        <w:t>*四</w:t>
      </w:r>
      <w:r>
        <w:rPr>
          <w:rFonts w:ascii="仿宋_GB2312" w:eastAsia="仿宋_GB2312" w:hAnsi="宋体" w:hint="eastAsia"/>
          <w:sz w:val="28"/>
          <w:szCs w:val="28"/>
        </w:rPr>
        <w:t>、技术支持与服务</w:t>
      </w:r>
      <w:bookmarkEnd w:id="8"/>
    </w:p>
    <w:p>
      <w:pPr>
        <w:pStyle w:val="82"/>
        <w:keepNext w:val="0"/>
        <w:keepLines w:val="0"/>
        <w:pageBreakBefore w:val="0"/>
        <w:widowControl w:val="0"/>
        <w:tabs>
          <w:tab w:val="clear" w:pos="720"/>
          <w:tab w:val="clear" w:pos="1260"/>
          <w:tab w:val="left" w:pos="720"/>
          <w:tab w:val="left" w:pos="12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80"/>
        </w:tabs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rightChars="0" w:right="11" w:firstLineChars="200" w:firstLine="560"/>
        <w:rPr>
          <w:rFonts w:ascii="仿宋_GB2312" w:eastAsia="仿宋_GB2312" w:hAnsi="宋体" w:hint="eastAsia"/>
          <w:color w:val="auto"/>
          <w:sz w:val="28"/>
          <w:szCs w:val="28"/>
        </w:rPr>
      </w:pPr>
      <w:r>
        <w:rPr>
          <w:rFonts w:ascii="仿宋_GB2312" w:eastAsia="仿宋_GB2312" w:cs="Times New Roman" w:hAnsi="宋体" w:hint="eastAsia"/>
          <w:color w:val="auto"/>
          <w:kern w:val="0"/>
          <w:sz w:val="28"/>
          <w:szCs w:val="28"/>
          <w:lang w:val="en-US" w:eastAsia="zh-CN" w:bidi="ar-SA"/>
        </w:rPr>
        <w:t>为使系统稳定运行，开发厂商应提供必要的技术支持服务，制定相应的技术支持与服务方案。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outlineLvl w:val="1"/>
        <w:rPr>
          <w:rFonts w:ascii="仿宋_GB2312" w:eastAsia="仿宋_GB2312" w:hAnsi="宋体" w:hint="eastAsia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1、</w:t>
      </w:r>
      <w:r>
        <w:rPr>
          <w:rFonts w:ascii="仿宋_GB2312" w:eastAsia="仿宋_GB2312" w:hAnsi="宋体" w:hint="eastAsia"/>
          <w:b/>
          <w:kern w:val="0"/>
          <w:sz w:val="28"/>
          <w:szCs w:val="28"/>
          <w:lang w:val="en-US" w:eastAsia="zh-CN"/>
        </w:rPr>
        <w:t>推广</w:t>
      </w:r>
      <w:r>
        <w:rPr>
          <w:rFonts w:ascii="仿宋_GB2312" w:eastAsia="仿宋_GB2312" w:hAnsi="宋体" w:hint="eastAsia"/>
          <w:b/>
          <w:kern w:val="0"/>
          <w:sz w:val="28"/>
          <w:szCs w:val="28"/>
        </w:rPr>
        <w:t>培训：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hAnsi="宋体" w:hint="eastAsia"/>
          <w:color w:val="auto"/>
          <w:kern w:val="0"/>
          <w:sz w:val="28"/>
          <w:szCs w:val="28"/>
        </w:rPr>
      </w:pP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敏捷开发模块联调测试完毕，正式上线后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，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开发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厂商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应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采用现场或线上的形式开展必要的应用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培训。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outlineLvl w:val="1"/>
        <w:rPr>
          <w:rFonts w:ascii="仿宋_GB2312" w:eastAsia="仿宋_GB2312" w:hAnsi="宋体" w:hint="eastAsia"/>
          <w:b/>
          <w:kern w:val="0"/>
          <w:sz w:val="28"/>
          <w:szCs w:val="28"/>
        </w:rPr>
      </w:pPr>
      <w:r>
        <w:rPr>
          <w:rFonts w:ascii="仿宋_GB2312" w:eastAsia="仿宋_GB2312" w:hAnsi="宋体" w:hint="eastAsia"/>
          <w:b/>
          <w:kern w:val="0"/>
          <w:sz w:val="28"/>
          <w:szCs w:val="28"/>
        </w:rPr>
        <w:t>2、技术支持：</w:t>
      </w:r>
    </w:p>
    <w:p>
      <w:pPr>
        <w:pStyle w:val="82"/>
        <w:keepNext w:val="0"/>
        <w:keepLines w:val="0"/>
        <w:pageBreakBefore w:val="0"/>
        <w:widowControl w:val="0"/>
        <w:tabs>
          <w:tab w:val="clear" w:pos="720"/>
          <w:tab w:val="clear" w:pos="1260"/>
          <w:tab w:val="left" w:pos="720"/>
          <w:tab w:val="left" w:pos="12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80"/>
        </w:tabs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rightChars="0" w:right="11" w:firstLineChars="200" w:firstLine="560"/>
        <w:rPr>
          <w:rFonts w:ascii="仿宋_GB2312" w:eastAsia="仿宋_GB2312" w:hAnsi="宋体" w:hint="eastAsia"/>
          <w:color w:val="auto"/>
          <w:sz w:val="28"/>
          <w:szCs w:val="28"/>
        </w:rPr>
      </w:pPr>
      <w:r>
        <w:rPr>
          <w:rFonts w:ascii="仿宋_GB2312" w:eastAsia="仿宋_GB2312" w:hAnsi="宋体" w:hint="eastAsia"/>
          <w:color w:val="auto"/>
          <w:sz w:val="28"/>
          <w:szCs w:val="28"/>
        </w:rPr>
        <w:t>为保证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对接警民通系统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正常运行，及时解决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运行中出现的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问题，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开发厂商须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承诺：</w:t>
      </w:r>
    </w:p>
    <w:p>
      <w:pPr>
        <w:pStyle w:val="29"/>
        <w:keepNext w:val="0"/>
        <w:keepLines w:val="0"/>
        <w:pageBreakBefore w:val="0"/>
        <w:widowControl w:val="0"/>
        <w:kinsoku/>
        <w:wordWrap/>
        <w:overflowPunct/>
        <w:topLinePunct w:val="0"/>
        <w:snapToGrid/>
        <w:spacing w:line="440" w:lineRule="exact"/>
        <w:ind w:firstLineChars="200" w:firstLine="560"/>
        <w:jc w:val="left"/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</w:pP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（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1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）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敏捷开发验收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合格后提供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1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年的免费维护，包括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系统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的完善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、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BUG修复、安全漏洞处理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等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。</w:t>
      </w:r>
    </w:p>
    <w:p>
      <w:pPr>
        <w:pStyle w:val="82"/>
        <w:keepNext w:val="0"/>
        <w:keepLines w:val="0"/>
        <w:pageBreakBefore w:val="0"/>
        <w:widowControl w:val="0"/>
        <w:tabs>
          <w:tab w:val="clear" w:pos="720"/>
          <w:tab w:val="clear" w:pos="1260"/>
          <w:tab w:val="left" w:pos="720"/>
          <w:tab w:val="left" w:pos="12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80"/>
        </w:tabs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rightChars="0" w:right="11" w:firstLineChars="200" w:firstLine="560"/>
        <w:rPr>
          <w:rFonts w:ascii="仿宋_GB2312" w:eastAsia="仿宋_GB2312" w:hAnsi="宋体" w:hint="eastAsia"/>
          <w:color w:val="auto"/>
          <w:sz w:val="28"/>
          <w:szCs w:val="28"/>
        </w:rPr>
      </w:pP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（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2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eastAsia="zh-CN"/>
        </w:rPr>
        <w:t>）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</w:rPr>
        <w:t>免费维护期</w:t>
      </w:r>
      <w:r>
        <w:rPr>
          <w:rFonts w:ascii="仿宋_GB2312" w:eastAsia="仿宋_GB2312" w:hAnsi="宋体" w:hint="eastAsia"/>
          <w:color w:val="auto"/>
          <w:kern w:val="0"/>
          <w:sz w:val="28"/>
          <w:szCs w:val="28"/>
          <w:lang w:val="en-US" w:eastAsia="zh-CN"/>
        </w:rPr>
        <w:t>内，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开发厂商须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提供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24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小时电话技术支持，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且在系统发生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故障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4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小时内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到达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现场</w:t>
      </w:r>
      <w:r>
        <w:rPr>
          <w:rFonts w:ascii="仿宋_GB2312" w:eastAsia="仿宋_GB2312" w:hAnsi="宋体" w:hint="eastAsia"/>
          <w:color w:val="auto"/>
          <w:sz w:val="28"/>
          <w:szCs w:val="28"/>
          <w:lang w:val="en-US" w:eastAsia="zh-CN"/>
        </w:rPr>
        <w:t>处理</w:t>
      </w:r>
      <w:r>
        <w:rPr>
          <w:rFonts w:ascii="仿宋_GB2312" w:eastAsia="仿宋_GB2312" w:hAnsi="宋体" w:hint="eastAsia"/>
          <w:color w:val="auto"/>
          <w:sz w:val="28"/>
          <w:szCs w:val="28"/>
        </w:rPr>
        <w:t>。</w:t>
      </w:r>
    </w:p>
    <w:p>
      <w:pPr>
        <w:pStyle w:val="82"/>
        <w:keepNext w:val="0"/>
        <w:keepLines w:val="0"/>
        <w:pageBreakBefore w:val="0"/>
        <w:widowControl w:val="0"/>
        <w:tabs>
          <w:tab w:val="clear" w:pos="720"/>
          <w:tab w:val="clear" w:pos="1260"/>
          <w:tab w:val="left" w:pos="720"/>
          <w:tab w:val="left" w:pos="12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80"/>
        </w:tabs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rightChars="0" w:right="11" w:firstLineChars="200" w:firstLine="480"/>
        <w:rPr>
          <w:rFonts w:ascii="仿宋_GB2312" w:eastAsia="仿宋_GB2312" w:hAnsi="宋体" w:hint="eastAsia"/>
          <w:color w:val="FF0000"/>
          <w:sz w:val="24"/>
          <w:szCs w:val="24"/>
          <w:lang w:eastAsia="zh-CN"/>
        </w:rPr>
      </w:pPr>
    </w:p>
    <w:p>
      <w:pPr>
        <w:pStyle w:val="82"/>
        <w:keepNext w:val="0"/>
        <w:keepLines w:val="0"/>
        <w:pageBreakBefore w:val="0"/>
        <w:widowControl w:val="0"/>
        <w:tabs>
          <w:tab w:val="clear" w:pos="720"/>
          <w:tab w:val="clear" w:pos="1260"/>
          <w:tab w:val="left" w:pos="720"/>
          <w:tab w:val="left" w:pos="12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80"/>
        </w:tabs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rightChars="0" w:right="11" w:firstLineChars="200" w:firstLine="480"/>
        <w:rPr>
          <w:rFonts w:ascii="仿宋_GB2312" w:eastAsia="仿宋_GB2312" w:hAnsi="宋体" w:hint="eastAsia"/>
          <w:color w:val="FF0000"/>
          <w:sz w:val="24"/>
          <w:szCs w:val="24"/>
          <w:lang w:eastAsia="zh-CN"/>
        </w:rPr>
      </w:pPr>
    </w:p>
    <w:p>
      <w:pPr>
        <w:pStyle w:val="82"/>
        <w:keepNext w:val="0"/>
        <w:keepLines w:val="0"/>
        <w:pageBreakBefore w:val="0"/>
        <w:widowControl w:val="0"/>
        <w:tabs>
          <w:tab w:val="clear" w:pos="720"/>
          <w:tab w:val="clear" w:pos="1260"/>
          <w:tab w:val="left" w:pos="720"/>
          <w:tab w:val="left" w:pos="126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8280"/>
        </w:tabs>
        <w:kinsoku/>
        <w:wordWrap/>
        <w:overflowPunct/>
        <w:topLinePunct w:val="0"/>
        <w:autoSpaceDE w:val="0"/>
        <w:autoSpaceDN w:val="0"/>
        <w:adjustRightInd w:val="0"/>
        <w:snapToGrid/>
        <w:spacing w:line="440" w:lineRule="exact"/>
        <w:ind w:left="0" w:rightChars="0" w:right="11" w:firstLineChars="0" w:firstLine="0"/>
        <w:rPr>
          <w:rFonts w:ascii="仿宋_GB2312" w:eastAsia="仿宋_GB2312" w:hAnsi="宋体"/>
          <w:color w:val="FF0000"/>
          <w:sz w:val="24"/>
          <w:szCs w:val="24"/>
          <w:lang w:val="en-US" w:eastAsia="zh-CN"/>
        </w:rPr>
      </w:pPr>
      <w:r>
        <w:rPr>
          <w:rFonts w:ascii="仿宋_GB2312" w:eastAsia="仿宋_GB2312" w:cs="Times New Roman" w:hAnsi="宋体" w:hint="eastAsia"/>
          <w:bCs/>
          <w:color w:val="auto"/>
          <w:kern w:val="0"/>
          <w:sz w:val="28"/>
          <w:szCs w:val="28"/>
          <w:lang w:val="en-US" w:eastAsia="zh-CN"/>
        </w:rPr>
        <w:t>注：*</w:t>
      </w:r>
      <w:r>
        <w:rPr>
          <w:rFonts w:ascii="仿宋_GB2312" w:eastAsia="仿宋_GB2312" w:hAnsi="宋体" w:hint="eastAsia"/>
          <w:bCs/>
          <w:color w:val="auto"/>
          <w:kern w:val="0"/>
          <w:sz w:val="28"/>
          <w:szCs w:val="28"/>
          <w:lang w:val="en-US" w:eastAsia="zh-CN"/>
        </w:rPr>
        <w:t>号项目为必须满足要求的技术规范</w:t>
      </w:r>
    </w:p>
    <w:p>
      <w:bookmarkStart w:id="9" w:name="_GoBack"/>
      <w:bookmarkEnd w:id="9"/>
    </w:p>
    <w:sectPr>
      <w:pgSz w:w="11907" w:h="16839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swiss"/>
    <w:pitch w:val="variable"/>
    <w:sig w:usb0="00000001" w:usb1="080E0000" w:usb2="00000000" w:usb3="00000000" w:csb0="00040000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D3E97FEB"/>
    <w:multiLevelType w:val="singleLevel"/>
    <w:tmpl w:val="D3E97FEB"/>
    <w:lvl w:ilvl="0">
      <w:start w:val="1"/>
      <w:numFmt w:val="decimal"/>
      <w:lvlRestart w:val="0"/>
      <w:suff w:val="nothing"/>
      <w:lvlText w:val="（%1）"/>
      <w:lvlJc w:val="left"/>
      <w:pPr/>
    </w:lvl>
  </w:abstractNum>
  <w:abstractNum w:abstractNumId="1">
    <w:nsid w:val="8FECF42F"/>
    <w:multiLevelType w:val="multilevel"/>
    <w:tmpl w:val="8FECF42F"/>
    <w:lvl w:ilvl="0">
      <w:start w:val="1"/>
      <w:numFmt w:val="decimal"/>
      <w:lvlRestart w:val="0"/>
      <w:suff w:val="nothing"/>
      <w:lvlText w:val="（%1）"/>
      <w:lvlJc w:val="left"/>
      <w:pPr/>
    </w:lvl>
    <w:lvl w:ilvl="1">
      <w:start w:val="1"/>
      <w:numFmt w:val="decimalEnclosedCircleChinese"/>
      <w:lvlText w:val="%2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lowerLetter"/>
      <w:lvlText w:val="%4."/>
      <w:lvlJc w:val="left"/>
      <w:pPr>
        <w:tabs>
          <w:tab w:val="num" w:pos="1680"/>
        </w:tabs>
        <w:ind w:left="1680" w:hanging="42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420"/>
      </w:pPr>
      <w:rPr>
        <w:rFonts w:hint="default"/>
      </w:rPr>
    </w:lvl>
    <w:lvl w:ilvl="6">
      <w:start w:val="1"/>
      <w:numFmt w:val="lowerRoman"/>
      <w:lvlText w:val="%7)"/>
      <w:lvlJc w:val="left"/>
      <w:pPr>
        <w:tabs>
          <w:tab w:val="num" w:pos="2940"/>
        </w:tabs>
        <w:ind w:left="2940" w:hanging="42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360"/>
        </w:tabs>
        <w:ind w:left="3360" w:hanging="420"/>
      </w:pPr>
      <w:rPr>
        <w:rFonts w:hint="default"/>
      </w:rPr>
    </w:lvl>
    <w:lvl w:ilvl="8">
      <w:start w:val="1"/>
      <w:numFmt w:val="lowerLetter"/>
      <w:lvlText w:val="%9)"/>
      <w:lvlJc w:val="left"/>
      <w:pPr>
        <w:tabs>
          <w:tab w:val="num" w:pos="3780"/>
        </w:tabs>
        <w:ind w:left="3780" w:hanging="42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2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1"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5"/>
  </w:compat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doNotIncludeSubdocsInStat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Arial"/>
        <w:lang w:val="en-US" w:eastAsia="zh-CN" w:bidi="ar-SA"/>
      </w:rPr>
    </w:rPrDefault>
    <w:pPrDefault/>
  </w:docDefaults>
  <w:style w:type="paragraph" w:default="1" w:styleId="0">
    <w:name w:val="Normal"/>
    <w:qFormat/>
    <w:next w:val="16"/>
    <w:pPr>
      <w:widowControl w:val="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1">
    <w:name w:val="heading 1"/>
    <w:qFormat/>
    <w:basedOn w:val="0"/>
    <w:next w:val="0"/>
    <w:link w:val="1Char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customStyle="1" w:styleId="1Char">
    <w:name w:val="heading 1 Char"/>
    <w:basedOn w:val="10"/>
    <w:link w:val="1"/>
    <w:rPr>
      <w:rFonts w:ascii="等线" w:eastAsia="等线" w:cs="Arial" w:hAnsi="等线"/>
      <w:b/>
      <w:bCs/>
      <w:kern w:val="44"/>
      <w:sz w:val="44"/>
      <w:szCs w:val="44"/>
      <w:lang w:val="en-US" w:eastAsia="zh-CN" w:bidi="ar-SA"/>
    </w:rPr>
  </w:style>
  <w:style w:type="paragraph" w:styleId="2">
    <w:name w:val="heading 2"/>
    <w:qFormat/>
    <w:basedOn w:val="0"/>
    <w:next w:val="0"/>
    <w:link w:val="2Char"/>
    <w:pPr>
      <w:keepNext/>
      <w:keepLines/>
      <w:widowControl w:val="0"/>
      <w:spacing w:before="240" w:after="120" w:line="413" w:lineRule="auto"/>
      <w:jc w:val="both"/>
      <w:outlineLvl w:val="1"/>
    </w:pPr>
    <w:rPr>
      <w:rFonts w:ascii="Arial" w:eastAsia="黑体" w:cs="Times New Roman" w:hAnsi="Arial"/>
      <w:b/>
      <w:bCs/>
      <w:kern w:val="2"/>
      <w:sz w:val="24"/>
      <w:szCs w:val="32"/>
      <w:lang w:val="en-US" w:eastAsia="zh-CN" w:bidi="ar-SA"/>
    </w:rPr>
  </w:style>
  <w:style w:type="character" w:customStyle="1" w:styleId="2Char">
    <w:name w:val="heading 2 Char"/>
    <w:basedOn w:val="10"/>
    <w:link w:val="2"/>
    <w:rPr>
      <w:rFonts w:ascii="Arial" w:eastAsia="黑体" w:cs="Times New Roman" w:hAnsi="Arial"/>
      <w:b/>
      <w:bCs/>
      <w:kern w:val="2"/>
      <w:sz w:val="24"/>
      <w:szCs w:val="32"/>
      <w:lang w:val="en-US" w:eastAsia="zh-CN" w:bidi="ar-SA"/>
    </w:rPr>
  </w:style>
  <w:style w:type="paragraph" w:styleId="3">
    <w:name w:val="heading 3"/>
    <w:qFormat/>
    <w:basedOn w:val="0"/>
    <w:next w:val="0"/>
    <w:link w:val="3Char"/>
    <w:pPr>
      <w:keepNext/>
      <w:keepLines/>
      <w:spacing w:before="260" w:after="260" w:line="415" w:lineRule="auto"/>
      <w:outlineLvl w:val="2"/>
    </w:pPr>
    <w:rPr>
      <w:b/>
      <w:bCs/>
      <w:sz w:val="32"/>
      <w:szCs w:val="32"/>
    </w:rPr>
  </w:style>
  <w:style w:type="character" w:customStyle="1" w:styleId="3Char">
    <w:name w:val="heading 3 Char"/>
    <w:basedOn w:val="10"/>
    <w:link w:val="3"/>
    <w:rPr>
      <w:rFonts w:ascii="等线" w:eastAsia="等线" w:cs="Arial" w:hAnsi="等线"/>
      <w:b/>
      <w:bCs/>
      <w:kern w:val="2"/>
      <w:sz w:val="32"/>
      <w:szCs w:val="32"/>
      <w:lang w:val="en-US" w:eastAsia="zh-CN" w:bidi="ar-SA"/>
    </w:rPr>
  </w:style>
  <w:style w:type="character" w:default="1" w:styleId="10">
    <w:name w:val="Default Paragraph Font"/>
    <w:qFormat/>
  </w:style>
  <w:style w:type="paragraph" w:styleId="29">
    <w:name w:val="Normal Indent"/>
    <w:qFormat/>
    <w:basedOn w:val="0"/>
    <w:next w:val="18"/>
    <w:pPr>
      <w:widowControl w:val="0"/>
      <w:ind w:firstLine="420"/>
      <w:jc w:val="both"/>
    </w:pPr>
    <w:rPr>
      <w:rFonts w:ascii="Times New Roman" w:eastAsia="宋体" w:cs="Times New Roman" w:hAnsi="Times New Roman"/>
      <w:kern w:val="2"/>
      <w:sz w:val="21"/>
      <w:szCs w:val="20"/>
      <w:lang w:val="en-US" w:eastAsia="zh-CN" w:bidi="ar-SA"/>
    </w:rPr>
  </w:style>
  <w:style w:type="paragraph" w:styleId="36">
    <w:name w:val="table of figures"/>
    <w:qFormat/>
    <w:basedOn w:val="0"/>
    <w:next w:val="0"/>
    <w:pPr>
      <w:ind w:leftChars="200" w:left="400" w:hangingChars="200" w:hanging="200"/>
    </w:pPr>
  </w:style>
  <w:style w:type="paragraph" w:styleId="78">
    <w:name w:val="Body Text First Indent 2"/>
    <w:qFormat/>
    <w:basedOn w:val="0"/>
    <w:next w:val="20"/>
    <w:pPr>
      <w:widowControl w:val="0"/>
      <w:spacing w:after="120"/>
      <w:ind w:leftChars="200" w:left="200" w:firstLineChars="200" w:firstLine="200"/>
      <w:jc w:val="both"/>
    </w:pPr>
    <w:rPr>
      <w:rFonts w:ascii="等线" w:eastAsia="等线" w:cs="Arial" w:hAnsi="等线"/>
      <w:kern w:val="2"/>
      <w:sz w:val="21"/>
      <w:szCs w:val="22"/>
      <w:lang w:val="en-US" w:eastAsia="zh-CN" w:bidi="ar-SA"/>
    </w:rPr>
  </w:style>
  <w:style w:type="paragraph" w:styleId="82">
    <w:name w:val="Body Text Indent 2"/>
    <w:qFormat/>
    <w:basedOn w:val="0"/>
    <w:next w:val="20"/>
    <w:pPr>
      <w:widowControl w:val="0"/>
      <w:tabs>
        <w:tab w:val="left" w:pos="720"/>
        <w:tab w:val="left" w:pos="126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8280"/>
      </w:tabs>
      <w:autoSpaceDE w:val="0"/>
      <w:autoSpaceDN w:val="0"/>
      <w:adjustRightInd w:val="0"/>
      <w:spacing w:line="360" w:lineRule="auto"/>
      <w:ind w:rightChars="12" w:right="12" w:firstLineChars="150" w:firstLine="150"/>
      <w:jc w:val="left"/>
    </w:pPr>
    <w:rPr>
      <w:rFonts w:ascii="宋体" w:eastAsia="宋体" w:cs="Times New Roman" w:hAnsi="Times New Roman"/>
      <w:color w:val="000000"/>
      <w:kern w:val="0"/>
      <w:sz w:val="24"/>
      <w:szCs w:val="20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customXml" Target="../customXml/item1.xml"/><Relationship Id="rId6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1"/>
        </a:gradFill>
      </a:fillStyleLst>
      <a:lnStyleLst>
        <a:ln w="6350" cmpd="sng" cap="flat">
          <a:solidFill>
            <a:schemeClr val="phClr"/>
          </a:solidFill>
          <a:prstDash val="solid"/>
          <a:miter/>
        </a:ln>
        <a:ln w="12700" cmpd="sng" cap="flat">
          <a:solidFill>
            <a:schemeClr val="phClr"/>
          </a:solidFill>
          <a:prstDash val="solid"/>
          <a:miter/>
        </a:ln>
        <a:ln w="19050" cmpd="sng" cap="flat">
          <a:solidFill>
            <a:schemeClr val="phClr"/>
          </a:solidFill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sx="100000" sy="100000" algn="b" rotWithShape="0" blurRad="57150" dist="19050" dir="540000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ustomData xmlns="http://www.yozosoft.com.cn/officeDocument/2016/customData">
  <customProps>
    <docPr revisions="3 0 5 0 -1 0 1 0 0 0 3000 0 1 1 1 1"/>
    <sectPr/>
  </customProps>
</customData>
</file>

<file path=customXml/itemProps1.xml><?xml version="1.0" encoding="utf-8"?>
<ds:datastoreItem xmlns:ds="http://schemas.openxmlformats.org/officeDocument/2006/customXml" ds:itemID="{F19FEFAC-C4AF-4DB9-8B4C-5FEB4BD6702C}">
  <ds:schemaRefs>
    <ds:schemaRef ds:uri="http://www.yozosoft.com.cn/officeDocument/2016/customData"/>
  </ds:schemaRefs>
</ds:datastoreItem>
</file>

<file path=docProps/app.xml><?xml version="1.0" encoding="utf-8"?>
<Properties xmlns="http://schemas.openxmlformats.org/officeDocument/2006/extended-properties">
  <Template>Normal.eit</Template>
  <TotalTime>4</TotalTime>
  <Application>Yozo_Office9.0.5644.102ZH.SP2</Application>
  <Pages>4</Pages>
  <Words>0</Words>
  <Characters>1305</Characters>
  <Lines>0</Lines>
  <Paragraphs>69</Paragraphs>
  <CharactersWithSpaces>1740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ZHGH00</dc:creator>
  <cp:lastModifiedBy>ZHGH00</cp:lastModifiedBy>
  <cp:revision>1</cp:revision>
  <dcterms:created xsi:type="dcterms:W3CDTF">2025-04-07T01:15:16Z</dcterms:created>
  <dcterms:modified xsi:type="dcterms:W3CDTF">2025-04-07T01:20:03Z</dcterms:modified>
</cp:coreProperties>
</file>