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afterAutospacing="0"/>
        <w:jc w:val="left"/>
        <w:rPr>
          <w:rFonts w:ascii="仿宋" w:eastAsia="仿宋" w:cs="仿宋" w:hAnsi="仿宋"/>
          <w:b/>
          <w:bCs/>
          <w:sz w:val="30"/>
          <w:szCs w:val="30"/>
        </w:rPr>
      </w:pPr>
      <w:r>
        <w:rPr>
          <w:rFonts w:ascii="仿宋" w:eastAsia="仿宋" w:cs="仿宋" w:hAnsi="仿宋" w:hint="eastAsia"/>
          <w:b/>
          <w:bCs/>
          <w:sz w:val="30"/>
          <w:szCs w:val="30"/>
        </w:rPr>
        <w:t>附件</w:t>
      </w:r>
      <w:r>
        <w:rPr>
          <w:rFonts w:ascii="仿宋" w:eastAsia="仿宋" w:cs="仿宋" w:hAnsi="仿宋" w:hint="eastAsia"/>
          <w:b/>
          <w:bCs/>
          <w:sz w:val="30"/>
          <w:szCs w:val="30"/>
          <w:lang w:val="en-US" w:eastAsia="zh-CN"/>
        </w:rPr>
        <w:t>6</w:t>
      </w:r>
      <w:r>
        <w:rPr>
          <w:rFonts w:ascii="仿宋" w:eastAsia="仿宋" w:cs="仿宋" w:hAnsi="仿宋" w:hint="eastAsia"/>
          <w:b/>
          <w:bCs/>
          <w:sz w:val="30"/>
          <w:szCs w:val="30"/>
        </w:rPr>
        <w:t>.技术规范书</w:t>
      </w:r>
    </w:p>
    <w:p>
      <w:pPr>
        <w:keepNext/>
        <w:keepLines/>
        <w:widowControl w:val="0"/>
        <w:spacing w:before="240" w:after="240" w:line="480" w:lineRule="auto"/>
        <w:jc w:val="center"/>
        <w:outlineLvl w:val="0"/>
        <w:rPr>
          <w:rFonts w:ascii="宋体" w:eastAsia="宋体" w:cs="宋体" w:hAnsi="宋体" w:hint="eastAsia"/>
          <w:b/>
          <w:kern w:val="0"/>
          <w:sz w:val="24"/>
          <w:szCs w:val="24"/>
          <w:lang w:val="en-US" w:eastAsia="zh-CN"/>
        </w:rPr>
      </w:pPr>
      <w:r>
        <w:rPr>
          <w:rFonts w:ascii="Calibri" w:eastAsia="宋体" w:cs="Calibri" w:hAnsi="方正小标宋_GBK" w:hint="eastAsia"/>
          <w:b/>
          <w:bCs/>
          <w:kern w:val="44"/>
          <w:sz w:val="28"/>
          <w:szCs w:val="44"/>
          <w:lang w:val="en-US" w:eastAsia="zh-CN" w:bidi="ar-SA"/>
        </w:rPr>
        <w:t>视频会议系统设备维修</w:t>
      </w:r>
      <w:r>
        <w:rPr>
          <w:rFonts w:ascii="Calibri" w:eastAsia="宋体" w:cs="Calibri" w:hAnsi="Calibri" w:hint="eastAsia"/>
          <w:b/>
          <w:bCs/>
          <w:kern w:val="44"/>
          <w:sz w:val="28"/>
          <w:szCs w:val="44"/>
          <w:lang w:val="en-US" w:eastAsia="zh-CN" w:bidi="ar-SA"/>
        </w:rPr>
        <w:t>技术规范书</w:t>
      </w:r>
    </w:p>
    <w:p>
      <w:pPr>
        <w:spacing w:line="360" w:lineRule="auto"/>
        <w:ind w:left="0" w:firstLineChars="200" w:firstLine="480"/>
        <w:rPr>
          <w:rFonts w:ascii="Calibri" w:eastAsia="宋体" w:cs="Calibri" w:hAnsi="Calibri" w:hint="eastAsia"/>
          <w:color w:val="ED7D31"/>
          <w:sz w:val="24"/>
          <w:szCs w:val="21"/>
          <w:lang w:val="en-US" w:eastAsia="zh-CN"/>
        </w:rPr>
      </w:pPr>
      <w:r>
        <w:rPr>
          <w:rFonts w:ascii="宋体" w:eastAsia="宋体" w:cs="宋体" w:hAnsi="宋体" w:hint="eastAsia"/>
          <w:b/>
          <w:kern w:val="0"/>
          <w:sz w:val="24"/>
          <w:szCs w:val="24"/>
          <w:lang w:val="en-US" w:eastAsia="zh-CN"/>
        </w:rPr>
        <w:t>一、服务周期要求</w:t>
      </w:r>
    </w:p>
    <w:p>
      <w:pPr>
        <w:spacing w:line="360" w:lineRule="auto"/>
        <w:ind w:firstLineChars="200" w:firstLine="480"/>
        <w:rPr>
          <w:rFonts w:ascii="宋体" w:eastAsia="宋体" w:cs="宋体" w:hAnsi="宋体" w:hint="eastAsia"/>
          <w:kern w:val="2"/>
          <w:sz w:val="24"/>
          <w:szCs w:val="24"/>
          <w:lang w:val="en-US" w:eastAsia="zh-CN" w:bidi="ar-SA"/>
        </w:rPr>
      </w:pPr>
      <w:r>
        <w:rPr>
          <w:rFonts w:ascii="宋体" w:eastAsia="宋体" w:cs="宋体" w:hAnsi="宋体" w:hint="eastAsia"/>
          <w:kern w:val="2"/>
          <w:sz w:val="24"/>
          <w:szCs w:val="24"/>
          <w:lang w:val="en-US" w:eastAsia="zh-CN" w:bidi="ar-SA"/>
        </w:rPr>
        <w:t>本次</w:t>
      </w:r>
      <w:r>
        <w:rPr>
          <w:rFonts w:ascii="宋体" w:eastAsia="宋体" w:cs="宋体" w:hAnsi="宋体"/>
          <w:kern w:val="2"/>
          <w:sz w:val="24"/>
          <w:szCs w:val="24"/>
          <w:lang w:val="en-US" w:eastAsia="zh-CN" w:bidi="ar-SA"/>
        </w:rPr>
        <w:t>维修</w:t>
      </w:r>
      <w:r>
        <w:rPr>
          <w:rFonts w:ascii="宋体" w:eastAsia="宋体" w:cs="宋体" w:hAnsi="宋体" w:hint="eastAsia"/>
          <w:kern w:val="2"/>
          <w:sz w:val="24"/>
          <w:szCs w:val="24"/>
          <w:lang w:val="en-US" w:eastAsia="zh-CN" w:bidi="ar-SA"/>
        </w:rPr>
        <w:t>服务起始时间以合同签订之日起开始计算，</w:t>
      </w:r>
      <w:r>
        <w:rPr>
          <w:rFonts w:ascii="宋体" w:eastAsia="宋体" w:cs="宋体" w:hAnsi="宋体"/>
          <w:kern w:val="2"/>
          <w:sz w:val="24"/>
          <w:szCs w:val="24"/>
          <w:lang w:val="en-US" w:eastAsia="zh-CN" w:bidi="ar-SA"/>
        </w:rPr>
        <w:t>维修时限不高于15天，质保期不少于三个月</w:t>
      </w:r>
      <w:r>
        <w:rPr>
          <w:rFonts w:ascii="宋体" w:eastAsia="宋体" w:cs="宋体" w:hAnsi="宋体" w:hint="eastAsia"/>
          <w:kern w:val="2"/>
          <w:sz w:val="24"/>
          <w:szCs w:val="24"/>
          <w:lang w:val="en-US" w:eastAsia="zh-CN" w:bidi="ar-SA"/>
        </w:rPr>
        <w:t>。</w:t>
      </w:r>
    </w:p>
    <w:p>
      <w:pPr>
        <w:spacing w:line="360" w:lineRule="auto"/>
        <w:ind w:firstLineChars="200" w:firstLine="480"/>
        <w:rPr>
          <w:rFonts w:ascii="宋体" w:eastAsia="宋体" w:cs="宋体" w:hAnsi="宋体" w:hint="eastAsia"/>
          <w:kern w:val="2"/>
          <w:sz w:val="24"/>
          <w:szCs w:val="24"/>
          <w:lang w:val="en-US" w:eastAsia="zh-CN" w:bidi="ar-SA"/>
        </w:rPr>
      </w:pPr>
      <w:r>
        <w:rPr>
          <w:rFonts w:ascii="宋体" w:eastAsia="宋体" w:cs="宋体" w:hAnsi="宋体" w:hint="eastAsia"/>
          <w:kern w:val="0"/>
          <w:sz w:val="24"/>
          <w:szCs w:val="24"/>
          <w:lang w:val="en-US" w:eastAsia="zh-CN"/>
        </w:rPr>
        <w:t>应答：</w:t>
      </w:r>
    </w:p>
    <w:p>
      <w:pPr>
        <w:spacing w:line="360" w:lineRule="auto"/>
        <w:ind w:left="0" w:firstLineChars="200" w:firstLine="480"/>
        <w:rPr>
          <w:rFonts w:ascii="宋体" w:eastAsia="宋体" w:cs="宋体" w:hAnsi="宋体" w:hint="eastAsia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ascii="宋体" w:eastAsia="宋体" w:cs="宋体" w:hAnsi="宋体" w:hint="eastAsia"/>
          <w:b/>
          <w:bCs/>
          <w:color w:val="auto"/>
          <w:kern w:val="2"/>
          <w:sz w:val="24"/>
          <w:szCs w:val="24"/>
          <w:lang w:val="en-US" w:eastAsia="zh-CN" w:bidi="ar-SA"/>
        </w:rPr>
        <w:t>二、</w:t>
      </w:r>
      <w:r>
        <w:rPr>
          <w:rFonts w:ascii="宋体" w:eastAsia="宋体" w:cs="宋体" w:hAnsi="宋体"/>
          <w:b/>
          <w:bCs/>
          <w:color w:val="auto"/>
          <w:kern w:val="2"/>
          <w:sz w:val="24"/>
          <w:szCs w:val="24"/>
          <w:lang w:val="en-US" w:eastAsia="zh-CN" w:bidi="ar-SA"/>
        </w:rPr>
        <w:t>维修</w:t>
      </w:r>
      <w:r>
        <w:rPr>
          <w:rFonts w:ascii="宋体" w:eastAsia="宋体" w:cs="宋体" w:hAnsi="宋体" w:hint="eastAsia"/>
          <w:b/>
          <w:bCs/>
          <w:color w:val="auto"/>
          <w:kern w:val="2"/>
          <w:sz w:val="24"/>
          <w:szCs w:val="24"/>
          <w:lang w:val="en-US" w:eastAsia="zh-CN" w:bidi="ar-SA"/>
        </w:rPr>
        <w:t>设备清单</w:t>
      </w:r>
    </w:p>
    <w:tbl>
      <w:tblPr>
        <w:tblpPr w:leftFromText="180" w:rightFromText="180" w:vertAnchor="text" w:horzAnchor="page" w:tblpX="2624" w:tblpY="176"/>
        <w:tblOverlap w:val="never"/>
        <w:tblW w:w="6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5"/>
        <w:gridCol w:w="2910"/>
        <w:gridCol w:w="1920"/>
      </w:tblGrid>
      <w:tr>
        <w:trPr>
          <w:trHeight w:val="416"/>
        </w:trPr>
        <w:tc>
          <w:tcPr>
            <w:tcW w:w="2035" w:type="dxa"/>
          </w:tcPr>
          <w:p>
            <w:pPr>
              <w:spacing w:line="360" w:lineRule="auto"/>
              <w:jc w:val="center"/>
              <w:rPr>
                <w:rFonts w:ascii="宋体" w:eastAsia="宋体" w:cs="Calibri" w:hAnsi="宋体" w:hint="eastAsia"/>
                <w:bCs/>
                <w:sz w:val="21"/>
                <w:szCs w:val="21"/>
              </w:rPr>
            </w:pPr>
            <w:r>
              <w:rPr>
                <w:rFonts w:ascii="宋体" w:eastAsia="宋体" w:cs="Calibri" w:hAnsi="宋体" w:hint="eastAsia"/>
                <w:bCs/>
                <w:sz w:val="21"/>
                <w:szCs w:val="21"/>
              </w:rPr>
              <w:t>序号</w:t>
            </w:r>
          </w:p>
        </w:tc>
        <w:tc>
          <w:tcPr>
            <w:tcW w:w="2910" w:type="dxa"/>
          </w:tcPr>
          <w:p>
            <w:pPr>
              <w:spacing w:line="360" w:lineRule="auto"/>
              <w:jc w:val="center"/>
              <w:rPr>
                <w:rFonts w:ascii="宋体" w:eastAsia="宋体" w:cs="Calibri" w:hAnsi="宋体" w:hint="eastAsia"/>
                <w:bCs/>
                <w:sz w:val="21"/>
                <w:szCs w:val="21"/>
              </w:rPr>
            </w:pPr>
            <w:r>
              <w:rPr>
                <w:rFonts w:ascii="宋体" w:eastAsia="宋体" w:cs="Calibri" w:hAnsi="宋体" w:hint="eastAsia"/>
                <w:bCs/>
                <w:sz w:val="21"/>
                <w:szCs w:val="21"/>
              </w:rPr>
              <w:t>设备名称/型号</w:t>
            </w:r>
          </w:p>
        </w:tc>
        <w:tc>
          <w:tcPr>
            <w:tcW w:w="1920" w:type="dxa"/>
          </w:tcPr>
          <w:p>
            <w:pPr>
              <w:spacing w:line="360" w:lineRule="auto"/>
              <w:jc w:val="center"/>
              <w:rPr>
                <w:rFonts w:ascii="宋体" w:eastAsia="宋体" w:cs="Calibri" w:hAnsi="宋体" w:hint="eastAsia"/>
                <w:bCs/>
                <w:sz w:val="21"/>
                <w:szCs w:val="21"/>
              </w:rPr>
            </w:pPr>
            <w:r>
              <w:rPr>
                <w:rFonts w:ascii="宋体" w:eastAsia="宋体" w:cs="Calibri" w:hAnsi="宋体" w:hint="eastAsia"/>
                <w:bCs/>
                <w:sz w:val="21"/>
                <w:szCs w:val="21"/>
              </w:rPr>
              <w:t>数量</w:t>
            </w:r>
          </w:p>
        </w:tc>
      </w:tr>
      <w:tr>
        <w:trPr>
          <w:trHeight w:val="185"/>
        </w:trPr>
        <w:tc>
          <w:tcPr>
            <w:tcW w:w="2035" w:type="dxa"/>
          </w:tcPr>
          <w:p>
            <w:pPr>
              <w:spacing w:line="360" w:lineRule="auto"/>
              <w:jc w:val="center"/>
              <w:rPr>
                <w:rFonts w:ascii="宋体" w:eastAsia="宋体" w:cs="Calibri" w:hAnsi="宋体" w:hint="eastAsia"/>
                <w:bCs/>
                <w:sz w:val="21"/>
                <w:szCs w:val="21"/>
              </w:rPr>
            </w:pPr>
            <w:r>
              <w:rPr>
                <w:rFonts w:ascii="宋体" w:eastAsia="宋体" w:cs="Calibri" w:hAnsi="宋体"/>
                <w:bCs/>
                <w:sz w:val="21"/>
                <w:szCs w:val="21"/>
              </w:rPr>
              <w:t>1</w:t>
            </w:r>
          </w:p>
        </w:tc>
        <w:tc>
          <w:tcPr>
            <w:tcW w:w="2910" w:type="dxa"/>
            <w:tcBorders>
              <w:left w:val="single" w:sz="4" w:space="0" w:color="auto"/>
            </w:tcBorders>
            <w:vAlign w:val="bottom"/>
          </w:tcPr>
          <w:p>
            <w:pPr>
              <w:spacing w:line="360" w:lineRule="auto"/>
              <w:jc w:val="center"/>
              <w:rPr>
                <w:rFonts w:ascii="宋体" w:eastAsia="宋体" w:cs="Calibri" w:hAnsi="宋体"/>
                <w:bCs/>
                <w:sz w:val="21"/>
                <w:szCs w:val="21"/>
              </w:rPr>
            </w:pPr>
            <w:r>
              <w:rPr>
                <w:rFonts w:ascii="宋体" w:eastAsia="宋体" w:cs="Calibri" w:hAnsi="宋体"/>
                <w:bCs/>
                <w:sz w:val="21"/>
                <w:szCs w:val="21"/>
              </w:rPr>
              <w:t xml:space="preserve">宝利通MCU </w:t>
            </w:r>
            <w:r>
              <w:rPr>
                <w:rFonts w:ascii="宋体" w:eastAsia="宋体" w:cs="Calibri" w:hAnsi="宋体" w:hint="eastAsia"/>
                <w:bCs/>
                <w:sz w:val="21"/>
                <w:szCs w:val="21"/>
              </w:rPr>
              <w:t>RMX2000</w:t>
            </w:r>
          </w:p>
        </w:tc>
        <w:tc>
          <w:tcPr>
            <w:tcW w:w="1920" w:type="dxa"/>
            <w:tcBorders>
              <w:left w:val="single" w:sz="4" w:space="0" w:color="auto"/>
            </w:tcBorders>
          </w:tcPr>
          <w:p>
            <w:pPr>
              <w:spacing w:line="360" w:lineRule="auto"/>
              <w:jc w:val="center"/>
              <w:rPr>
                <w:rFonts w:ascii="宋体" w:eastAsia="宋体" w:cs="Calibri" w:hAnsi="宋体" w:hint="eastAsia"/>
                <w:bCs/>
                <w:sz w:val="21"/>
                <w:szCs w:val="21"/>
              </w:rPr>
            </w:pPr>
            <w:r>
              <w:rPr>
                <w:rFonts w:ascii="宋体" w:eastAsia="宋体" w:cs="Calibri" w:hAnsi="宋体" w:hint="eastAsia"/>
                <w:bCs/>
                <w:sz w:val="21"/>
                <w:szCs w:val="21"/>
              </w:rPr>
              <w:t>1</w:t>
            </w:r>
          </w:p>
        </w:tc>
      </w:tr>
    </w:tbl>
    <w:p>
      <w:pPr>
        <w:spacing w:line="360" w:lineRule="auto"/>
        <w:rPr>
          <w:rFonts w:ascii="宋体" w:eastAsia="宋体" w:cs="宋体" w:hAnsi="宋体" w:hint="eastAsia"/>
          <w:kern w:val="2"/>
          <w:sz w:val="24"/>
          <w:szCs w:val="24"/>
          <w:lang w:val="en-US" w:eastAsia="zh-CN" w:bidi="ar-SA"/>
        </w:rPr>
      </w:pPr>
      <w:r>
        <w:rPr>
          <w:rFonts w:ascii="宋体" w:eastAsia="宋体" w:cs="宋体" w:hAnsi="宋体" w:hint="eastAsia"/>
          <w:kern w:val="2"/>
          <w:sz w:val="24"/>
          <w:szCs w:val="24"/>
          <w:lang w:val="en-US" w:eastAsia="zh-CN" w:bidi="ar-SA"/>
        </w:rPr>
        <w:t xml:space="preserve"> </w:t>
      </w:r>
    </w:p>
    <w:p>
      <w:pPr>
        <w:rPr>
          <w:rFonts w:ascii="宋体" w:eastAsia="宋体" w:cs="宋体" w:hAnsi="宋体" w:hint="eastAsia"/>
          <w:kern w:val="2"/>
          <w:sz w:val="24"/>
          <w:szCs w:val="24"/>
          <w:lang w:val="en-US" w:eastAsia="zh-CN" w:bidi="ar-SA"/>
        </w:rPr>
      </w:pPr>
    </w:p>
    <w:p>
      <w:pPr>
        <w:spacing w:line="360" w:lineRule="auto"/>
        <w:ind w:firstLineChars="200" w:firstLine="480"/>
        <w:rPr>
          <w:rFonts w:ascii="宋体" w:eastAsia="宋体" w:cs="宋体" w:hAnsi="宋体" w:hint="eastAsia"/>
          <w:b/>
          <w:kern w:val="0"/>
          <w:sz w:val="24"/>
          <w:szCs w:val="24"/>
          <w:lang w:val="en-US" w:eastAsia="zh-CN"/>
        </w:rPr>
      </w:pPr>
      <w:r>
        <w:rPr>
          <w:rFonts w:ascii="宋体" w:eastAsia="宋体" w:cs="宋体" w:hAnsi="宋体" w:hint="eastAsia"/>
          <w:kern w:val="0"/>
          <w:sz w:val="24"/>
          <w:szCs w:val="24"/>
          <w:lang w:val="en-US" w:eastAsia="zh-CN"/>
        </w:rPr>
        <w:t>应答：</w:t>
      </w:r>
    </w:p>
    <w:p>
      <w:pPr>
        <w:spacing w:line="360" w:lineRule="auto"/>
        <w:ind w:left="0" w:firstLineChars="200" w:firstLine="480"/>
        <w:rPr>
          <w:rFonts w:ascii="宋体" w:eastAsia="宋体" w:cs="宋体" w:hAnsi="宋体" w:hint="eastAsia"/>
          <w:b/>
          <w:kern w:val="0"/>
          <w:sz w:val="24"/>
          <w:szCs w:val="24"/>
          <w:lang w:val="en-US" w:eastAsia="zh-CN"/>
        </w:rPr>
      </w:pPr>
      <w:r>
        <w:rPr>
          <w:rFonts w:ascii="宋体" w:eastAsia="宋体" w:cs="宋体" w:hAnsi="宋体" w:hint="eastAsia"/>
          <w:b/>
          <w:kern w:val="0"/>
          <w:sz w:val="24"/>
          <w:szCs w:val="24"/>
          <w:lang w:val="en-US" w:eastAsia="zh-CN"/>
        </w:rPr>
        <w:t>三、服务内容及要求</w:t>
      </w:r>
    </w:p>
    <w:p>
      <w:pPr>
        <w:spacing w:line="360" w:lineRule="auto"/>
        <w:ind w:firstLineChars="200" w:firstLine="480"/>
        <w:rPr>
          <w:rFonts w:ascii="宋体" w:eastAsia="宋体" w:cs="宋体" w:hAnsi="宋体" w:hint="eastAsia"/>
          <w:b/>
          <w:kern w:val="0"/>
          <w:sz w:val="24"/>
          <w:szCs w:val="24"/>
        </w:rPr>
      </w:pPr>
      <w:r>
        <w:rPr>
          <w:rFonts w:ascii="宋体" w:eastAsia="宋体" w:cs="宋体" w:hAnsi="宋体" w:hint="eastAsia"/>
          <w:b/>
          <w:kern w:val="0"/>
          <w:sz w:val="24"/>
          <w:szCs w:val="24"/>
        </w:rPr>
        <w:t>1</w:t>
      </w:r>
      <w:r>
        <w:rPr>
          <w:rFonts w:ascii="宋体" w:eastAsia="宋体" w:cs="宋体" w:hAnsi="宋体"/>
          <w:b/>
          <w:kern w:val="0"/>
          <w:sz w:val="24"/>
          <w:szCs w:val="24"/>
        </w:rPr>
        <w:t>.</w:t>
      </w:r>
      <w:r>
        <w:rPr>
          <w:rFonts w:ascii="宋体" w:eastAsia="宋体" w:cs="宋体" w:hAnsi="宋体" w:hint="eastAsia"/>
          <w:b/>
          <w:kern w:val="0"/>
          <w:sz w:val="24"/>
          <w:szCs w:val="24"/>
        </w:rPr>
        <w:t>设备故障修复服务</w:t>
      </w:r>
      <w:bookmarkStart w:id="0" w:name="_Toc118284396"/>
    </w:p>
    <w:p>
      <w:pPr>
        <w:spacing w:line="360" w:lineRule="auto"/>
        <w:ind w:firstLineChars="200" w:firstLine="480"/>
        <w:rPr>
          <w:rFonts w:ascii="宋体" w:eastAsia="宋体" w:cs="宋体" w:hAnsi="宋体"/>
          <w:kern w:val="0"/>
          <w:sz w:val="24"/>
          <w:szCs w:val="24"/>
          <w:lang w:val="en-US" w:eastAsia="zh-CN"/>
        </w:rPr>
      </w:pPr>
      <w:bookmarkStart w:id="1" w:name="_Toc118284407"/>
      <w:bookmarkEnd w:id="0"/>
      <w:r>
        <w:rPr>
          <w:rFonts w:ascii="宋体" w:eastAsia="宋体" w:cs="宋体" w:hAnsi="宋体"/>
          <w:kern w:val="0"/>
          <w:sz w:val="24"/>
          <w:szCs w:val="24"/>
          <w:lang w:val="en-US" w:eastAsia="zh-CN"/>
        </w:rPr>
        <w:t>乙方需对甲方RMX2000设备的所有故障进行修复，包含原厂配件更换、软件写入等，提供详细的维修明细，</w:t>
      </w:r>
      <w:r>
        <w:rPr>
          <w:rFonts w:ascii="宋体" w:eastAsia="宋体" w:cs="Calibri" w:hAnsi="Calibri" w:hint="eastAsia"/>
          <w:sz w:val="24"/>
          <w:szCs w:val="21"/>
        </w:rPr>
        <w:t>并负责</w:t>
      </w:r>
      <w:r>
        <w:rPr>
          <w:rFonts w:ascii="宋体" w:eastAsia="宋体" w:cs="Calibri" w:hAnsi="Calibri"/>
          <w:sz w:val="24"/>
          <w:szCs w:val="21"/>
        </w:rPr>
        <w:t>与甲方原有</w:t>
      </w:r>
      <w:r>
        <w:rPr>
          <w:rFonts w:ascii="宋体" w:eastAsia="宋体" w:cs="Calibri" w:hAnsi="Calibri" w:hint="eastAsia"/>
          <w:sz w:val="24"/>
          <w:szCs w:val="21"/>
        </w:rPr>
        <w:t>设备的互连互通</w:t>
      </w:r>
      <w:r>
        <w:rPr>
          <w:rFonts w:ascii="宋体" w:eastAsia="宋体" w:cs="Calibri" w:hAnsi="Calibri"/>
          <w:sz w:val="24"/>
          <w:szCs w:val="21"/>
        </w:rPr>
        <w:t>,</w:t>
      </w:r>
      <w:r>
        <w:rPr>
          <w:rFonts w:ascii="宋体" w:eastAsia="宋体" w:cs="宋体" w:hAnsi="宋体"/>
          <w:kern w:val="0"/>
          <w:sz w:val="24"/>
          <w:szCs w:val="24"/>
          <w:lang w:val="en-US" w:eastAsia="zh-CN"/>
        </w:rPr>
        <w:t>保证设备能够在原应用场景下的正常运行。</w:t>
      </w:r>
    </w:p>
    <w:p>
      <w:pPr>
        <w:spacing w:line="360" w:lineRule="auto"/>
        <w:ind w:firstLineChars="200" w:firstLine="480"/>
        <w:rPr>
          <w:rFonts w:ascii="宋体" w:eastAsia="宋体" w:cs="宋体" w:hAnsi="宋体"/>
          <w:kern w:val="0"/>
          <w:sz w:val="24"/>
          <w:szCs w:val="24"/>
          <w:lang w:val="en-US" w:eastAsia="zh-CN"/>
        </w:rPr>
      </w:pPr>
      <w:r>
        <w:rPr>
          <w:rFonts w:ascii="宋体" w:eastAsia="宋体" w:cs="宋体" w:hAnsi="宋体" w:hint="eastAsia"/>
          <w:kern w:val="0"/>
          <w:sz w:val="24"/>
          <w:szCs w:val="24"/>
          <w:lang w:val="en-US" w:eastAsia="zh-CN"/>
        </w:rPr>
        <w:t>应答：</w:t>
      </w:r>
    </w:p>
    <w:p>
      <w:pPr>
        <w:spacing w:line="360" w:lineRule="auto"/>
        <w:ind w:firstLineChars="200" w:firstLine="480"/>
        <w:rPr>
          <w:rFonts w:ascii="宋体" w:eastAsia="宋体" w:cs="宋体" w:hAnsi="宋体" w:hint="eastAsia"/>
          <w:b/>
          <w:kern w:val="0"/>
          <w:sz w:val="24"/>
          <w:szCs w:val="24"/>
        </w:rPr>
      </w:pPr>
      <w:r>
        <w:rPr>
          <w:rFonts w:ascii="宋体" w:eastAsia="宋体" w:cs="宋体" w:hAnsi="宋体" w:hint="eastAsia"/>
          <w:b/>
          <w:kern w:val="0"/>
          <w:sz w:val="24"/>
          <w:szCs w:val="24"/>
          <w:lang w:val="en-US" w:eastAsia="zh-CN"/>
        </w:rPr>
        <w:t>2</w:t>
      </w:r>
      <w:r>
        <w:rPr>
          <w:rFonts w:ascii="宋体" w:eastAsia="宋体" w:cs="宋体" w:hAnsi="宋体"/>
          <w:b/>
          <w:kern w:val="0"/>
          <w:sz w:val="24"/>
          <w:szCs w:val="24"/>
          <w:lang w:val="en-US" w:eastAsia="zh-CN"/>
        </w:rPr>
        <w:t>.</w:t>
      </w:r>
      <w:r>
        <w:rPr>
          <w:rFonts w:ascii="宋体" w:eastAsia="宋体" w:cs="宋体" w:hAnsi="宋体" w:hint="eastAsia"/>
          <w:b/>
          <w:kern w:val="0"/>
          <w:sz w:val="24"/>
          <w:szCs w:val="24"/>
        </w:rPr>
        <w:t>现场服务</w:t>
      </w:r>
    </w:p>
    <w:p>
      <w:pPr>
        <w:widowControl w:val="0"/>
        <w:autoSpaceDE w:val="0"/>
        <w:autoSpaceDN w:val="0"/>
        <w:adjustRightInd w:val="0"/>
        <w:spacing w:line="360" w:lineRule="auto"/>
        <w:ind w:left="0" w:firstLineChars="200" w:firstLine="480"/>
        <w:jc w:val="left"/>
        <w:rPr>
          <w:rFonts w:ascii="宋体" w:eastAsia="宋体" w:cs="宋体" w:hAnsi="宋体" w:hint="eastAsia"/>
          <w:kern w:val="2"/>
          <w:sz w:val="24"/>
          <w:szCs w:val="24"/>
          <w:lang w:val="en-US" w:eastAsia="zh-CN" w:bidi="ar-SA"/>
        </w:rPr>
      </w:pPr>
      <w:r>
        <w:rPr>
          <w:rFonts w:ascii="宋体" w:eastAsia="宋体" w:cs="宋体" w:hAnsi="宋体"/>
          <w:kern w:val="2"/>
          <w:sz w:val="24"/>
          <w:szCs w:val="24"/>
          <w:lang w:val="en-US" w:eastAsia="zh-CN" w:bidi="ar-SA"/>
        </w:rPr>
        <w:t>质保期内提供免费的现场技术支持，响应时长不超过1个小时，到达现场时长不超过3个小时，如维修部位发生故障需提供免费维修，并提供不低于同型号同配置的备机供甲方使用，保证甲方业务正常使用</w:t>
      </w:r>
      <w:r>
        <w:rPr>
          <w:rFonts w:ascii="宋体" w:eastAsia="宋体" w:cs="宋体" w:hAnsi="宋体" w:hint="eastAsia"/>
          <w:kern w:val="2"/>
          <w:sz w:val="24"/>
          <w:szCs w:val="24"/>
          <w:lang w:val="en-US" w:eastAsia="zh-CN" w:bidi="ar-SA"/>
        </w:rPr>
        <w:t>。</w:t>
      </w:r>
    </w:p>
    <w:p>
      <w:pPr>
        <w:widowControl w:val="0"/>
        <w:autoSpaceDE w:val="0"/>
        <w:autoSpaceDN w:val="0"/>
        <w:adjustRightInd w:val="0"/>
        <w:spacing w:line="360" w:lineRule="auto"/>
        <w:ind w:left="0" w:firstLineChars="200" w:firstLine="480"/>
        <w:jc w:val="left"/>
        <w:rPr>
          <w:rFonts w:ascii="宋体" w:eastAsia="宋体" w:cs="宋体" w:hAnsi="宋体" w:hint="eastAsia"/>
          <w:kern w:val="2"/>
          <w:sz w:val="24"/>
          <w:szCs w:val="24"/>
          <w:lang w:val="en-US" w:eastAsia="zh-CN" w:bidi="ar-SA"/>
        </w:rPr>
      </w:pPr>
      <w:r>
        <w:rPr>
          <w:rFonts w:ascii="宋体" w:eastAsia="宋体" w:cs="宋体" w:hAnsi="宋体" w:hint="eastAsia"/>
          <w:kern w:val="2"/>
          <w:sz w:val="24"/>
          <w:szCs w:val="24"/>
          <w:lang w:val="en-US" w:eastAsia="zh-CN" w:bidi="ar-SA"/>
        </w:rPr>
        <w:t>应答：</w:t>
      </w:r>
    </w:p>
    <w:p>
      <w:pPr>
        <w:spacing w:line="360" w:lineRule="auto"/>
        <w:ind w:firstLineChars="200" w:firstLine="480"/>
        <w:rPr>
          <w:rFonts w:ascii="宋体" w:eastAsia="宋体" w:cs="宋体" w:hAnsi="宋体" w:hint="eastAsia"/>
          <w:b/>
          <w:kern w:val="0"/>
          <w:sz w:val="24"/>
          <w:szCs w:val="24"/>
        </w:rPr>
      </w:pPr>
      <w:bookmarkStart w:id="2" w:name="_Toc118284408"/>
      <w:bookmarkStart w:id="3" w:name="_Toc118284411"/>
      <w:bookmarkEnd w:id="1"/>
      <w:r>
        <w:rPr>
          <w:rFonts w:ascii="宋体" w:eastAsia="宋体" w:cs="宋体" w:hAnsi="宋体" w:hint="eastAsia"/>
          <w:b/>
          <w:kern w:val="0"/>
          <w:sz w:val="24"/>
          <w:szCs w:val="24"/>
          <w:lang w:val="en-US" w:eastAsia="zh-CN"/>
        </w:rPr>
        <w:t>3</w:t>
      </w:r>
      <w:r>
        <w:rPr>
          <w:rFonts w:ascii="宋体" w:eastAsia="宋体" w:cs="宋体" w:hAnsi="宋体"/>
          <w:b/>
          <w:kern w:val="0"/>
          <w:sz w:val="24"/>
          <w:szCs w:val="24"/>
          <w:lang w:val="en-US" w:eastAsia="zh-CN"/>
        </w:rPr>
        <w:t>.</w:t>
      </w:r>
      <w:r>
        <w:rPr>
          <w:rFonts w:ascii="宋体" w:eastAsia="宋体" w:cs="宋体" w:hAnsi="宋体" w:hint="eastAsia"/>
          <w:b/>
          <w:kern w:val="0"/>
          <w:sz w:val="24"/>
          <w:szCs w:val="24"/>
        </w:rPr>
        <w:t>巡检服务</w:t>
      </w:r>
      <w:bookmarkStart w:id="4" w:name="_Toc118284409"/>
      <w:bookmarkEnd w:id="2"/>
    </w:p>
    <w:p>
      <w:pPr>
        <w:widowControl w:val="0"/>
        <w:autoSpaceDE w:val="0"/>
        <w:autoSpaceDN w:val="0"/>
        <w:adjustRightInd w:val="0"/>
        <w:spacing w:line="360" w:lineRule="auto"/>
        <w:ind w:left="0" w:firstLineChars="200" w:firstLine="480"/>
        <w:jc w:val="left"/>
        <w:rPr>
          <w:rFonts w:ascii="宋体" w:eastAsia="宋体" w:cs="宋体" w:hAnsi="宋体" w:hint="eastAsia"/>
          <w:kern w:val="2"/>
          <w:sz w:val="24"/>
          <w:szCs w:val="24"/>
          <w:lang w:val="en-US" w:eastAsia="zh-CN" w:bidi="ar-SA"/>
        </w:rPr>
      </w:pPr>
      <w:bookmarkEnd w:id="4"/>
      <w:r>
        <w:rPr>
          <w:rFonts w:ascii="宋体" w:eastAsia="宋体" w:cs="宋体" w:hAnsi="宋体"/>
          <w:kern w:val="0"/>
          <w:sz w:val="24"/>
          <w:szCs w:val="24"/>
          <w:lang w:val="en-US" w:eastAsia="zh-CN" w:bidi="ar-SA"/>
        </w:rPr>
        <w:t>质保期内不少于一次的</w:t>
      </w:r>
      <w:r>
        <w:rPr>
          <w:rFonts w:ascii="宋体" w:eastAsia="宋体" w:cs="宋体" w:hAnsi="宋体" w:hint="eastAsia"/>
          <w:kern w:val="2"/>
          <w:sz w:val="24"/>
          <w:szCs w:val="24"/>
          <w:lang w:val="en-US" w:eastAsia="zh-CN" w:bidi="ar-SA"/>
        </w:rPr>
        <w:t>现场</w:t>
      </w:r>
      <w:r>
        <w:rPr>
          <w:rFonts w:ascii="宋体" w:eastAsia="宋体" w:cs="宋体" w:hAnsi="宋体"/>
          <w:kern w:val="2"/>
          <w:sz w:val="24"/>
          <w:szCs w:val="24"/>
          <w:lang w:val="en-US" w:eastAsia="zh-CN" w:bidi="ar-SA"/>
        </w:rPr>
        <w:t>巡检服务</w:t>
      </w:r>
      <w:r>
        <w:rPr>
          <w:rFonts w:ascii="宋体" w:eastAsia="宋体" w:cs="宋体" w:hAnsi="宋体" w:hint="eastAsia"/>
          <w:kern w:val="2"/>
          <w:sz w:val="24"/>
          <w:szCs w:val="24"/>
          <w:lang w:val="en-US" w:eastAsia="zh-CN" w:bidi="ar-SA"/>
        </w:rPr>
        <w:t>，及时发现</w:t>
      </w:r>
      <w:r>
        <w:rPr>
          <w:rFonts w:ascii="宋体" w:eastAsia="宋体" w:cs="宋体" w:hAnsi="宋体"/>
          <w:kern w:val="2"/>
          <w:sz w:val="24"/>
          <w:szCs w:val="24"/>
          <w:lang w:val="en-US" w:eastAsia="zh-CN" w:bidi="ar-SA"/>
        </w:rPr>
        <w:t>设备</w:t>
      </w:r>
      <w:r>
        <w:rPr>
          <w:rFonts w:ascii="宋体" w:eastAsia="宋体" w:cs="宋体" w:hAnsi="宋体" w:hint="eastAsia"/>
          <w:kern w:val="2"/>
          <w:sz w:val="24"/>
          <w:szCs w:val="24"/>
          <w:lang w:val="en-US" w:eastAsia="zh-CN" w:bidi="ar-SA"/>
        </w:rPr>
        <w:t>运行中存在的隐患，</w:t>
      </w:r>
      <w:r>
        <w:rPr>
          <w:rFonts w:ascii="宋体" w:eastAsia="宋体" w:cs="宋体" w:hAnsi="宋体"/>
          <w:kern w:val="2"/>
          <w:sz w:val="24"/>
          <w:szCs w:val="24"/>
          <w:lang w:val="en-US" w:eastAsia="zh-CN" w:bidi="ar-SA"/>
        </w:rPr>
        <w:t>及时处置或提供相关建议</w:t>
      </w:r>
      <w:r>
        <w:rPr>
          <w:rFonts w:ascii="宋体" w:eastAsia="宋体" w:cs="宋体" w:hAnsi="宋体" w:hint="eastAsia"/>
          <w:kern w:val="2"/>
          <w:sz w:val="24"/>
          <w:szCs w:val="24"/>
          <w:lang w:val="en-US" w:eastAsia="zh-CN" w:bidi="ar-SA"/>
        </w:rPr>
        <w:t>，保证系统稳定、高效运行。</w:t>
      </w:r>
      <w:bookmarkEnd w:id="3"/>
    </w:p>
    <w:p>
      <w:pPr>
        <w:widowControl w:val="0"/>
        <w:autoSpaceDE w:val="0"/>
        <w:autoSpaceDN w:val="0"/>
        <w:adjustRightInd w:val="0"/>
        <w:spacing w:line="360" w:lineRule="auto"/>
        <w:ind w:left="0" w:firstLineChars="200" w:firstLine="480"/>
        <w:jc w:val="left"/>
        <w:rPr>
          <w:rFonts w:ascii="宋体" w:eastAsia="宋体" w:cs="宋体" w:hAnsi="宋体" w:hint="eastAsia"/>
          <w:kern w:val="2"/>
          <w:sz w:val="24"/>
          <w:szCs w:val="24"/>
          <w:lang w:val="en-US" w:eastAsia="zh-CN" w:bidi="ar-SA"/>
        </w:rPr>
      </w:pPr>
      <w:r>
        <w:rPr>
          <w:rFonts w:ascii="宋体" w:eastAsia="宋体" w:cs="宋体" w:hAnsi="宋体" w:hint="eastAsia"/>
          <w:kern w:val="2"/>
          <w:sz w:val="24"/>
          <w:szCs w:val="24"/>
          <w:lang w:val="en-US" w:eastAsia="zh-CN" w:bidi="ar-SA"/>
        </w:rPr>
        <w:t>应答：</w:t>
      </w:r>
    </w:p>
    <w:p>
      <w:pPr>
        <w:pStyle w:val="77"/>
        <w:rPr>
          <w:rFonts w:hint="eastAsia"/>
        </w:rPr>
      </w:pPr>
    </w:p>
    <w:p>
      <w:pPr>
        <w:pStyle w:val="77"/>
      </w:pPr>
      <w:r>
        <w:rPr>
          <w:rFonts w:ascii="仿宋_GB2312" w:eastAsia="仿宋_GB2312" w:cs="Times New Roman" w:hAnsi="宋体" w:hint="eastAsia"/>
          <w:bCs/>
          <w:color w:val="auto"/>
          <w:kern w:val="0"/>
          <w:sz w:val="28"/>
          <w:szCs w:val="28"/>
          <w:lang w:val="en-US" w:eastAsia="zh-CN"/>
        </w:rPr>
        <w:t>注：</w:t>
      </w:r>
      <w:r>
        <w:rPr>
          <w:rFonts w:ascii="仿宋_GB2312" w:eastAsia="仿宋_GB2312" w:hAnsi="宋体" w:hint="eastAsia"/>
          <w:b/>
          <w:bCs w:val="0"/>
          <w:color w:val="auto"/>
          <w:kern w:val="0"/>
          <w:sz w:val="28"/>
          <w:szCs w:val="28"/>
          <w:lang w:val="en-US" w:eastAsia="zh-CN"/>
        </w:rPr>
        <w:t>技术规范书需逐条应答。</w:t>
      </w:r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2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仿宋_GB2312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3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等线" w:eastAsia="等线" w:cs="Arial" w:hAnsi="等线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77">
    <w:name w:val="Body Text First Indent"/>
    <w:basedOn w:val="0"/>
    <w:next w:val="24"/>
    <w:pPr>
      <w:widowControl w:val="0"/>
      <w:spacing w:after="200"/>
      <w:ind w:firstLineChars="100" w:firstLine="100"/>
      <w:jc w:val="both"/>
    </w:pPr>
    <w:rPr>
      <w:rFonts w:ascii="等线" w:eastAsia="宋体" w:cs="Arial" w:hAnsi="等线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50E0304F-9062-4FCB-8887-81704C863AB7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4</TotalTime>
  <Application>Yozo_Office27021597764231179</Application>
  <Pages>1</Pages>
  <Words>0</Words>
  <Characters>324</Characters>
  <Lines>0</Lines>
  <Paragraphs>22</Paragraphs>
  <CharactersWithSpaces>432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36259</dc:creator>
  <cp:lastModifiedBy>36259</cp:lastModifiedBy>
  <cp:revision>1</cp:revision>
  <dcterms:created xsi:type="dcterms:W3CDTF">2025-10-21T06:58:27Z</dcterms:created>
  <dcterms:modified xsi:type="dcterms:W3CDTF">2025-10-21T07:02:37Z</dcterms:modified>
</cp:coreProperties>
</file>